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E22" w:rsidRDefault="00916E22" w:rsidP="00916E22">
      <w:pPr>
        <w:jc w:val="right"/>
      </w:pPr>
      <w:r>
        <w:t>Preliminary and Incomplete</w:t>
      </w:r>
    </w:p>
    <w:p w:rsidR="00916E22" w:rsidRDefault="00916E22" w:rsidP="00916E22">
      <w:pPr>
        <w:pStyle w:val="Title"/>
        <w:jc w:val="left"/>
      </w:pPr>
    </w:p>
    <w:p w:rsidR="00916E22" w:rsidRDefault="00916E22" w:rsidP="00916E22">
      <w:pPr>
        <w:pStyle w:val="Title"/>
        <w:jc w:val="left"/>
      </w:pPr>
    </w:p>
    <w:p w:rsidR="00916E22" w:rsidRDefault="00916E22" w:rsidP="00916E22">
      <w:pPr>
        <w:pStyle w:val="Title"/>
        <w:jc w:val="left"/>
      </w:pPr>
    </w:p>
    <w:p w:rsidR="00916E22" w:rsidRDefault="00916E22" w:rsidP="00916E22">
      <w:pPr>
        <w:pStyle w:val="Title"/>
        <w:jc w:val="left"/>
      </w:pPr>
    </w:p>
    <w:p w:rsidR="00916E22" w:rsidRDefault="00916E22" w:rsidP="00916E22">
      <w:pPr>
        <w:pStyle w:val="Title"/>
        <w:jc w:val="left"/>
      </w:pPr>
    </w:p>
    <w:p w:rsidR="00916E22" w:rsidRDefault="00916E22" w:rsidP="00916E22">
      <w:pPr>
        <w:pStyle w:val="Title"/>
        <w:jc w:val="left"/>
      </w:pPr>
    </w:p>
    <w:p w:rsidR="00916E22" w:rsidRDefault="00916E22" w:rsidP="00916E22">
      <w:pPr>
        <w:pStyle w:val="Title"/>
        <w:jc w:val="left"/>
      </w:pPr>
    </w:p>
    <w:p w:rsidR="00916E22" w:rsidRDefault="00916E22" w:rsidP="00916E22">
      <w:pPr>
        <w:pStyle w:val="Title"/>
        <w:jc w:val="left"/>
      </w:pPr>
    </w:p>
    <w:p w:rsidR="00916E22" w:rsidRDefault="00916E22" w:rsidP="00916E22">
      <w:pPr>
        <w:pStyle w:val="Title"/>
        <w:jc w:val="left"/>
      </w:pPr>
    </w:p>
    <w:p w:rsidR="00916E22" w:rsidRDefault="00916E22" w:rsidP="00916E22">
      <w:pPr>
        <w:pStyle w:val="Title"/>
        <w:jc w:val="left"/>
      </w:pPr>
    </w:p>
    <w:p w:rsidR="00916E22" w:rsidRDefault="00916E22" w:rsidP="00916E22">
      <w:pPr>
        <w:pStyle w:val="Title"/>
      </w:pPr>
      <w:bookmarkStart w:id="0" w:name="OLE_LINK2"/>
      <w:bookmarkStart w:id="1" w:name="OLE_LINK1"/>
      <w:r>
        <w:t>Fiscal Multipliers in Recession and Expansion</w:t>
      </w:r>
    </w:p>
    <w:bookmarkEnd w:id="0"/>
    <w:bookmarkEnd w:id="1"/>
    <w:p w:rsidR="00916E22" w:rsidRDefault="00916E22" w:rsidP="00916E22"/>
    <w:p w:rsidR="00916E22" w:rsidRDefault="00916E22" w:rsidP="00916E22"/>
    <w:p w:rsidR="00916E22" w:rsidRDefault="00916E22" w:rsidP="00916E22">
      <w:pPr>
        <w:pStyle w:val="Subtitle"/>
      </w:pPr>
      <w:r>
        <w:t>Alan J. Auerbach and Yuriy Gorodnichenko</w:t>
      </w:r>
    </w:p>
    <w:p w:rsidR="00916E22" w:rsidRDefault="00916E22" w:rsidP="00916E22">
      <w:pPr>
        <w:pStyle w:val="Subtitle"/>
      </w:pPr>
      <w:r>
        <w:t>University of California, Berkeley</w:t>
      </w:r>
    </w:p>
    <w:p w:rsidR="00916E22" w:rsidRDefault="00916E22" w:rsidP="00916E22"/>
    <w:p w:rsidR="00916E22" w:rsidRDefault="00916E22" w:rsidP="00916E22"/>
    <w:p w:rsidR="00916E22" w:rsidRDefault="00A4466D" w:rsidP="00916E22">
      <w:pPr>
        <w:pStyle w:val="Subtitle"/>
      </w:pPr>
      <w:r>
        <w:t>June</w:t>
      </w:r>
      <w:r w:rsidR="00916E22">
        <w:t>, 2011</w:t>
      </w:r>
    </w:p>
    <w:p w:rsidR="00916E22" w:rsidRDefault="00916E22" w:rsidP="00916E22"/>
    <w:p w:rsidR="00916E22" w:rsidRDefault="00916E22" w:rsidP="00916E22"/>
    <w:p w:rsidR="00916E22" w:rsidRDefault="00916E22" w:rsidP="00916E22"/>
    <w:p w:rsidR="00916E22" w:rsidRDefault="00916E22" w:rsidP="00916E22"/>
    <w:p w:rsidR="00916E22" w:rsidRDefault="00916E22" w:rsidP="00916E22"/>
    <w:p w:rsidR="00916E22" w:rsidRDefault="00916E22" w:rsidP="00916E22"/>
    <w:p w:rsidR="00916E22" w:rsidRDefault="00916E22" w:rsidP="00916E22"/>
    <w:p w:rsidR="00916E22" w:rsidRDefault="00916E22" w:rsidP="00916E22"/>
    <w:p w:rsidR="00916E22" w:rsidRDefault="00916E22" w:rsidP="00916E22"/>
    <w:p w:rsidR="00916E22" w:rsidRDefault="00916E22" w:rsidP="00916E22"/>
    <w:p w:rsidR="00916E22" w:rsidRDefault="00916E22" w:rsidP="00916E22"/>
    <w:p w:rsidR="00916E22" w:rsidRDefault="00916E22" w:rsidP="00916E22"/>
    <w:p w:rsidR="00916E22" w:rsidRDefault="00916E22" w:rsidP="00916E22"/>
    <w:p w:rsidR="00487FE3" w:rsidRDefault="00487FE3" w:rsidP="00916E22"/>
    <w:p w:rsidR="00916E22" w:rsidRDefault="00916E22" w:rsidP="00916E22">
      <w:r>
        <w:t xml:space="preserve">This paper is being prepared for the NBER conference, Fiscal Policy after the Financial Crisis, to be held in Milan, December, 2011. </w:t>
      </w:r>
    </w:p>
    <w:p w:rsidR="00487FE3" w:rsidRDefault="00487FE3" w:rsidP="00916E22">
      <w:pPr>
        <w:sectPr w:rsidR="00487FE3" w:rsidSect="00487FE3">
          <w:footerReference w:type="default" r:id="rId8"/>
          <w:pgSz w:w="12240" w:h="15840"/>
          <w:pgMar w:top="1440" w:right="1440" w:bottom="1440" w:left="1440" w:header="720" w:footer="720" w:gutter="0"/>
          <w:cols w:space="720"/>
          <w:titlePg/>
          <w:docGrid w:linePitch="326"/>
        </w:sectPr>
      </w:pPr>
    </w:p>
    <w:p w:rsidR="00916E22" w:rsidRDefault="00916E22" w:rsidP="00DD5F57">
      <w:pPr>
        <w:pStyle w:val="Heading1"/>
      </w:pPr>
      <w:r w:rsidRPr="00DD5F57">
        <w:lastRenderedPageBreak/>
        <w:t>Introduction</w:t>
      </w:r>
    </w:p>
    <w:p w:rsidR="00916E22" w:rsidRDefault="00916E22" w:rsidP="00916E22">
      <w:pPr>
        <w:spacing w:line="480" w:lineRule="auto"/>
      </w:pPr>
      <w:r>
        <w:t>A key issue coming out of recent economic events is the size of fiscal multipliers when the economy is in recession.  In a recent paper (Auerbach and Gorodnichenko, 2011), we extended the standard Structural Vector Autoregression (SVAR) methodology in three ways to shed light on this issue.  First, using regime-switching models, we estimated effects of fiscal policies that can vary over the business cycle, finding large differences in the size of spending multipliers in recessions and expansions with fiscal policy being considerably more effective in recessions than in expansions.  Second, we estimated multipliers for more disaggregate spending variables which behave differently in relation to aggregate fiscal policy shocks, with military spending having the largest multiplier.  Third, we showed that controlling for real-time predictions of fiscal variables tends to increase the size of the multipliers in recessions.</w:t>
      </w:r>
    </w:p>
    <w:p w:rsidR="00916E22" w:rsidRDefault="00916E22" w:rsidP="00916E22">
      <w:pPr>
        <w:spacing w:line="480" w:lineRule="auto"/>
        <w:ind w:firstLine="720"/>
      </w:pPr>
      <w:r>
        <w:t>In this paper, we extend our previous analysis in two important ways.  First, we estimate multipliers for a large number of OECD countries, rather than just for the United States, again allowing for state dependence and controlling for information provided by predictions.  Second, we adapt our previous methodology to use direct projections rather than the SVAR approach to estimate multipliers, to economize on degrees of freedom and to relax the assumptions on impulse response functions imposed by the SVAR method.  Our findings confirm those of our earlier paper.  In particular, multipliers of government purchases are larger in recession, and controlling for real-time predictions of government purchases tends to increase the estimated multipliers of government spending in recession.</w:t>
      </w:r>
    </w:p>
    <w:p w:rsidR="00916E22" w:rsidRDefault="00916E22" w:rsidP="00DD5F57">
      <w:pPr>
        <w:pStyle w:val="Heading1"/>
      </w:pPr>
      <w:r w:rsidRPr="00DD5F57">
        <w:t>Methodology</w:t>
      </w:r>
    </w:p>
    <w:p w:rsidR="00916E22" w:rsidRDefault="00916E22" w:rsidP="00A6253F">
      <w:pPr>
        <w:spacing w:line="480" w:lineRule="auto"/>
      </w:pPr>
      <w:r>
        <w:t>Before developing our current approach, we review the one taken in our earlier paper.  We developed what we referred to there as a smooth transition vector aut</w:t>
      </w:r>
      <w:r w:rsidR="00AA67AE">
        <w:t>o</w:t>
      </w:r>
      <w:r>
        <w:t xml:space="preserve">regression (STVAR), </w:t>
      </w:r>
      <w:r>
        <w:lastRenderedPageBreak/>
        <w:t>based on the smooth transition autoregressive (STAR) models developed in Granger and Teravistra (1993); one important difference in our approach is that we allow not only differential dynamic responses but also differential contemporaneous responses to structural shocks.  Our basic specification, without controlling for real-time predictions, was:</w:t>
      </w:r>
    </w:p>
    <w:p w:rsidR="00916E22" w:rsidRDefault="0062653A" w:rsidP="00916E22">
      <w:pPr>
        <w:spacing w:line="360" w:lineRule="auto"/>
        <w:ind w:firstLine="720"/>
      </w:pPr>
      <m:oMath>
        <m:sSub>
          <m:sSubPr>
            <m:ctrlPr>
              <w:rPr>
                <w:rFonts w:ascii="Cambria Math" w:hAnsi="Cambria Math"/>
                <w:i/>
              </w:rPr>
            </m:ctrlPr>
          </m:sSubPr>
          <m:e>
            <m:r>
              <m:rPr>
                <m:sty m:val="b"/>
              </m:rPr>
              <w:rPr>
                <w:rFonts w:ascii="Cambria Math" w:hAnsi="Cambria Math"/>
              </w:rPr>
              <m:t>X</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1-F</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t-1</m:t>
                    </m:r>
                  </m:sub>
                </m:sSub>
              </m:e>
            </m:d>
          </m:e>
        </m:d>
        <m:sSub>
          <m:sSubPr>
            <m:ctrlPr>
              <w:rPr>
                <w:rFonts w:ascii="Cambria Math" w:hAnsi="Cambria Math"/>
                <w:i/>
              </w:rPr>
            </m:ctrlPr>
          </m:sSubPr>
          <m:e>
            <m:r>
              <m:rPr>
                <m:sty m:val="b"/>
              </m:rPr>
              <w:rPr>
                <w:rFonts w:ascii="Cambria Math" w:hAnsi="Cambria Math"/>
              </w:rPr>
              <m:t>Π</m:t>
            </m:r>
          </m:e>
          <m:sub>
            <m:r>
              <w:rPr>
                <w:rFonts w:ascii="Cambria Math" w:hAnsi="Cambria Math"/>
              </w:rPr>
              <m:t>E</m:t>
            </m:r>
          </m:sub>
        </m:sSub>
        <m:d>
          <m:dPr>
            <m:ctrlPr>
              <w:rPr>
                <w:rFonts w:ascii="Cambria Math" w:hAnsi="Cambria Math"/>
                <w:i/>
              </w:rPr>
            </m:ctrlPr>
          </m:dPr>
          <m:e>
            <m:r>
              <w:rPr>
                <w:rFonts w:ascii="Cambria Math" w:hAnsi="Cambria Math"/>
              </w:rPr>
              <m:t>L</m:t>
            </m:r>
          </m:e>
        </m:d>
        <m:sSub>
          <m:sSubPr>
            <m:ctrlPr>
              <w:rPr>
                <w:rFonts w:ascii="Cambria Math" w:hAnsi="Cambria Math"/>
                <w:i/>
              </w:rPr>
            </m:ctrlPr>
          </m:sSubPr>
          <m:e>
            <m:r>
              <m:rPr>
                <m:sty m:val="b"/>
              </m:rPr>
              <w:rPr>
                <w:rFonts w:ascii="Cambria Math" w:hAnsi="Cambria Math"/>
              </w:rPr>
              <m:t>X</m:t>
            </m:r>
          </m:e>
          <m:sub>
            <m:r>
              <w:rPr>
                <w:rFonts w:ascii="Cambria Math" w:hAnsi="Cambria Math"/>
              </w:rPr>
              <m:t>t-1</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t-1</m:t>
                </m:r>
              </m:sub>
            </m:sSub>
          </m:e>
        </m:d>
        <m:sSub>
          <m:sSubPr>
            <m:ctrlPr>
              <w:rPr>
                <w:rFonts w:ascii="Cambria Math" w:hAnsi="Cambria Math"/>
                <w:i/>
              </w:rPr>
            </m:ctrlPr>
          </m:sSubPr>
          <m:e>
            <m:r>
              <m:rPr>
                <m:sty m:val="b"/>
              </m:rPr>
              <w:rPr>
                <w:rFonts w:ascii="Cambria Math" w:hAnsi="Cambria Math"/>
              </w:rPr>
              <m:t>Π</m:t>
            </m:r>
          </m:e>
          <m:sub>
            <m:r>
              <w:rPr>
                <w:rFonts w:ascii="Cambria Math" w:hAnsi="Cambria Math"/>
              </w:rPr>
              <m:t>R</m:t>
            </m:r>
          </m:sub>
        </m:sSub>
        <m:d>
          <m:dPr>
            <m:ctrlPr>
              <w:rPr>
                <w:rFonts w:ascii="Cambria Math" w:hAnsi="Cambria Math"/>
                <w:i/>
              </w:rPr>
            </m:ctrlPr>
          </m:dPr>
          <m:e>
            <m:r>
              <w:rPr>
                <w:rFonts w:ascii="Cambria Math" w:hAnsi="Cambria Math"/>
              </w:rPr>
              <m:t>L</m:t>
            </m:r>
          </m:e>
        </m:d>
        <m:sSub>
          <m:sSubPr>
            <m:ctrlPr>
              <w:rPr>
                <w:rFonts w:ascii="Cambria Math" w:hAnsi="Cambria Math"/>
                <w:i/>
              </w:rPr>
            </m:ctrlPr>
          </m:sSubPr>
          <m:e>
            <m:r>
              <m:rPr>
                <m:sty m:val="b"/>
              </m:rPr>
              <w:rPr>
                <w:rFonts w:ascii="Cambria Math" w:hAnsi="Cambria Math"/>
              </w:rPr>
              <m:t>X</m:t>
            </m:r>
          </m:e>
          <m:sub>
            <m:r>
              <w:rPr>
                <w:rFonts w:ascii="Cambria Math" w:hAnsi="Cambria Math"/>
              </w:rPr>
              <m:t>t-1</m:t>
            </m:r>
          </m:sub>
        </m:sSub>
        <m:sSub>
          <m:sSubPr>
            <m:ctrlPr>
              <w:rPr>
                <w:rFonts w:ascii="Cambria Math" w:hAnsi="Cambria Math"/>
                <w:i/>
              </w:rPr>
            </m:ctrlPr>
          </m:sSubPr>
          <m:e>
            <m:r>
              <w:rPr>
                <w:rFonts w:ascii="Cambria Math" w:hAnsi="Cambria Math"/>
              </w:rPr>
              <m:t>+</m:t>
            </m:r>
            <m:r>
              <m:rPr>
                <m:sty m:val="b"/>
              </m:rPr>
              <w:rPr>
                <w:rFonts w:ascii="Cambria Math" w:hAnsi="Cambria Math"/>
              </w:rPr>
              <m:t>u</m:t>
            </m:r>
          </m:e>
          <m:sub>
            <m:r>
              <w:rPr>
                <w:rFonts w:ascii="Cambria Math" w:hAnsi="Cambria Math"/>
              </w:rPr>
              <m:t>t</m:t>
            </m:r>
          </m:sub>
        </m:sSub>
      </m:oMath>
      <w:r w:rsidR="00916E22">
        <w:t xml:space="preserve"> </w:t>
      </w:r>
      <w:r w:rsidR="00916E22">
        <w:tab/>
      </w:r>
      <w:r w:rsidR="00916E22">
        <w:tab/>
      </w:r>
      <w:r w:rsidR="00916E22">
        <w:tab/>
      </w:r>
      <w:r w:rsidR="00916E22">
        <w:tab/>
      </w:r>
      <w:r>
        <w:fldChar w:fldCharType="begin"/>
      </w:r>
      <w:r w:rsidR="00916E22">
        <w:instrText xml:space="preserve"> MACROBUTTON MTPlaceRef \* MERGEFORMAT </w:instrText>
      </w:r>
      <w:r>
        <w:fldChar w:fldCharType="begin"/>
      </w:r>
      <w:r w:rsidR="00F229BF">
        <w:instrText xml:space="preserve"> SEQ MTEqn \h \* MERGEFORMAT </w:instrText>
      </w:r>
      <w:r>
        <w:fldChar w:fldCharType="end"/>
      </w:r>
      <w:bookmarkStart w:id="2" w:name="ZEqnNum166981"/>
      <w:r w:rsidR="00916E22">
        <w:instrText>(</w:instrText>
      </w:r>
      <w:fldSimple w:instr=" SEQ MTEqn \c \* Arabic \* MERGEFORMAT ">
        <w:r w:rsidR="00E724CE">
          <w:rPr>
            <w:noProof/>
          </w:rPr>
          <w:instrText>1</w:instrText>
        </w:r>
      </w:fldSimple>
      <w:r w:rsidR="00916E22">
        <w:instrText>)</w:instrText>
      </w:r>
      <w:bookmarkEnd w:id="2"/>
      <w:r>
        <w:fldChar w:fldCharType="end"/>
      </w:r>
    </w:p>
    <w:p w:rsidR="00916E22" w:rsidRDefault="0062653A" w:rsidP="00916E22">
      <w:pPr>
        <w:spacing w:line="360" w:lineRule="auto"/>
        <w:ind w:firstLine="720"/>
      </w:pPr>
      <m:oMath>
        <m:sSub>
          <m:sSubPr>
            <m:ctrlPr>
              <w:rPr>
                <w:rFonts w:ascii="Cambria Math" w:hAnsi="Cambria Math"/>
                <w:i/>
              </w:rPr>
            </m:ctrlPr>
          </m:sSubPr>
          <m:e>
            <m:r>
              <m:rPr>
                <m:sty m:val="b"/>
              </m:rPr>
              <w:rPr>
                <w:rFonts w:ascii="Cambria Math" w:hAnsi="Cambria Math"/>
              </w:rPr>
              <m:t>u</m:t>
            </m:r>
          </m:e>
          <m:sub>
            <m:r>
              <w:rPr>
                <w:rFonts w:ascii="Cambria Math" w:hAnsi="Cambria Math"/>
              </w:rPr>
              <m:t>t</m:t>
            </m:r>
          </m:sub>
        </m:sSub>
        <m:r>
          <w:rPr>
            <w:rFonts w:ascii="Cambria Math" w:hAnsi="Cambria Math"/>
          </w:rPr>
          <m:t>~N(</m:t>
        </m:r>
        <m:r>
          <m:rPr>
            <m:sty m:val="bi"/>
          </m:rPr>
          <w:rPr>
            <w:rFonts w:ascii="Cambria Math" w:hAnsi="Cambria Math"/>
          </w:rPr>
          <m:t>0</m:t>
        </m:r>
        <m:r>
          <w:rPr>
            <w:rFonts w:ascii="Cambria Math" w:hAnsi="Cambria Math"/>
          </w:rPr>
          <m:t>,</m:t>
        </m:r>
        <m:sSub>
          <m:sSubPr>
            <m:ctrlPr>
              <w:rPr>
                <w:rFonts w:ascii="Cambria Math" w:hAnsi="Cambria Math"/>
              </w:rPr>
            </m:ctrlPr>
          </m:sSubPr>
          <m:e>
            <m:r>
              <m:rPr>
                <m:sty m:val="b"/>
              </m:rPr>
              <w:rPr>
                <w:rFonts w:ascii="Cambria Math" w:hAnsi="Cambria Math"/>
              </w:rPr>
              <m:t>Ω</m:t>
            </m:r>
          </m:e>
          <m:sub>
            <m:r>
              <w:rPr>
                <w:rFonts w:ascii="Cambria Math" w:hAnsi="Cambria Math"/>
              </w:rPr>
              <m:t>t</m:t>
            </m:r>
          </m:sub>
        </m:sSub>
        <m:r>
          <w:rPr>
            <w:rFonts w:ascii="Cambria Math" w:hAnsi="Cambria Math"/>
          </w:rPr>
          <m:t>)</m:t>
        </m:r>
      </m:oMath>
      <w:r w:rsidR="00916E22">
        <w:t xml:space="preserve"> </w:t>
      </w:r>
      <w:r w:rsidR="00916E22">
        <w:tab/>
      </w:r>
      <w:r w:rsidR="00916E22">
        <w:tab/>
      </w:r>
      <w:r w:rsidR="00916E22">
        <w:tab/>
      </w:r>
      <w:r w:rsidR="00916E22">
        <w:tab/>
      </w:r>
      <w:r w:rsidR="00916E22">
        <w:tab/>
      </w:r>
      <w:r w:rsidR="00916E22">
        <w:tab/>
      </w:r>
      <w:r w:rsidR="00916E22">
        <w:tab/>
      </w:r>
      <w:r w:rsidR="00916E22">
        <w:tab/>
      </w:r>
      <w:r w:rsidR="00916E22">
        <w:tab/>
      </w:r>
      <w:r w:rsidR="00916E22">
        <w:tab/>
      </w:r>
      <w:r>
        <w:fldChar w:fldCharType="begin"/>
      </w:r>
      <w:r w:rsidR="00916E22">
        <w:instrText xml:space="preserve"> MACROBUTTON MTPlaceRef \* MERGEFORMAT </w:instrText>
      </w:r>
      <w:r>
        <w:fldChar w:fldCharType="begin"/>
      </w:r>
      <w:r w:rsidR="00F229BF">
        <w:instrText xml:space="preserve"> SEQ MTEqn \h \* MERGEFORMAT </w:instrText>
      </w:r>
      <w:r>
        <w:fldChar w:fldCharType="end"/>
      </w:r>
      <w:r w:rsidR="00916E22">
        <w:instrText>(</w:instrText>
      </w:r>
      <w:fldSimple w:instr=" SEQ MTEqn \c \* Arabic \* MERGEFORMAT ">
        <w:r w:rsidR="00E724CE">
          <w:rPr>
            <w:noProof/>
          </w:rPr>
          <w:instrText>2</w:instrText>
        </w:r>
      </w:fldSimple>
      <w:r w:rsidR="00916E22">
        <w:instrText>)</w:instrText>
      </w:r>
      <w:r>
        <w:fldChar w:fldCharType="end"/>
      </w:r>
    </w:p>
    <w:p w:rsidR="00916E22" w:rsidRDefault="0062653A" w:rsidP="00916E22">
      <w:pPr>
        <w:spacing w:line="360" w:lineRule="auto"/>
        <w:ind w:firstLine="720"/>
      </w:pPr>
      <m:oMath>
        <m:sSub>
          <m:sSubPr>
            <m:ctrlPr>
              <w:rPr>
                <w:rFonts w:ascii="Cambria Math" w:hAnsi="Cambria Math"/>
                <w:i/>
              </w:rPr>
            </m:ctrlPr>
          </m:sSubPr>
          <m:e>
            <m:r>
              <m:rPr>
                <m:sty m:val="b"/>
              </m:rPr>
              <w:rPr>
                <w:rFonts w:ascii="Cambria Math" w:hAnsi="Cambria Math"/>
              </w:rPr>
              <m:t>Ω</m:t>
            </m:r>
          </m:e>
          <m:sub>
            <m:r>
              <w:rPr>
                <w:rFonts w:ascii="Cambria Math" w:hAnsi="Cambria Math"/>
              </w:rPr>
              <m:t>t</m:t>
            </m:r>
          </m:sub>
        </m:sSub>
        <m:r>
          <w:rPr>
            <w:rFonts w:ascii="Cambria Math" w:hAnsi="Cambria Math"/>
          </w:rPr>
          <m:t>=</m:t>
        </m:r>
        <m:sSub>
          <m:sSubPr>
            <m:ctrlPr>
              <w:rPr>
                <w:rFonts w:ascii="Cambria Math" w:hAnsi="Cambria Math"/>
                <w:i/>
              </w:rPr>
            </m:ctrlPr>
          </m:sSubPr>
          <m:e>
            <m:r>
              <m:rPr>
                <m:sty m:val="b"/>
              </m:rPr>
              <w:rPr>
                <w:rFonts w:ascii="Cambria Math" w:hAnsi="Cambria Math"/>
              </w:rPr>
              <m:t>Ω</m:t>
            </m:r>
          </m:e>
          <m:sub>
            <m:r>
              <w:rPr>
                <w:rFonts w:ascii="Cambria Math" w:hAnsi="Cambria Math"/>
              </w:rPr>
              <m:t>E</m:t>
            </m:r>
          </m:sub>
        </m:sSub>
        <m:d>
          <m:dPr>
            <m:ctrlPr>
              <w:rPr>
                <w:rFonts w:ascii="Cambria Math" w:hAnsi="Cambria Math"/>
                <w:i/>
              </w:rPr>
            </m:ctrlPr>
          </m:dPr>
          <m:e>
            <m:r>
              <w:rPr>
                <w:rFonts w:ascii="Cambria Math" w:hAnsi="Cambria Math"/>
              </w:rPr>
              <m:t>1-F</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t-1</m:t>
                    </m:r>
                  </m:sub>
                </m:sSub>
              </m:e>
            </m:d>
          </m:e>
        </m:d>
        <m:r>
          <w:rPr>
            <w:rFonts w:ascii="Cambria Math" w:hAnsi="Cambria Math"/>
          </w:rPr>
          <m:t>+</m:t>
        </m:r>
        <m:sSub>
          <m:sSubPr>
            <m:ctrlPr>
              <w:rPr>
                <w:rFonts w:ascii="Cambria Math" w:hAnsi="Cambria Math"/>
                <w:i/>
              </w:rPr>
            </m:ctrlPr>
          </m:sSubPr>
          <m:e>
            <m:r>
              <m:rPr>
                <m:sty m:val="b"/>
              </m:rPr>
              <w:rPr>
                <w:rFonts w:ascii="Cambria Math" w:hAnsi="Cambria Math"/>
              </w:rPr>
              <m:t>Ω</m:t>
            </m:r>
          </m:e>
          <m:sub>
            <m:r>
              <w:rPr>
                <w:rFonts w:ascii="Cambria Math" w:hAnsi="Cambria Math"/>
              </w:rPr>
              <m:t>R</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t-1</m:t>
                </m:r>
              </m:sub>
            </m:sSub>
          </m:e>
        </m:d>
      </m:oMath>
      <w:r w:rsidR="00916E22">
        <w:tab/>
      </w:r>
      <w:r w:rsidR="00916E22">
        <w:tab/>
      </w:r>
      <w:r w:rsidR="00916E22">
        <w:tab/>
      </w:r>
      <w:r w:rsidR="00916E22">
        <w:tab/>
      </w:r>
      <w:r w:rsidR="00916E22">
        <w:tab/>
      </w:r>
      <w:r w:rsidR="00916E22">
        <w:tab/>
      </w:r>
      <w:r>
        <w:fldChar w:fldCharType="begin"/>
      </w:r>
      <w:r w:rsidR="00916E22">
        <w:instrText xml:space="preserve"> MACROBUTTON MTPlaceRef \* MERGEFORMAT </w:instrText>
      </w:r>
      <w:r>
        <w:fldChar w:fldCharType="begin"/>
      </w:r>
      <w:r w:rsidR="00F229BF">
        <w:instrText xml:space="preserve"> SEQ MTEqn \h \* MERGEFORMAT </w:instrText>
      </w:r>
      <w:r>
        <w:fldChar w:fldCharType="end"/>
      </w:r>
      <w:bookmarkStart w:id="3" w:name="ZEqnNum424203"/>
      <w:r w:rsidR="00916E22">
        <w:instrText>(</w:instrText>
      </w:r>
      <w:fldSimple w:instr=" SEQ MTEqn \c \* Arabic \* MERGEFORMAT ">
        <w:r w:rsidR="00E724CE">
          <w:rPr>
            <w:noProof/>
          </w:rPr>
          <w:instrText>3</w:instrText>
        </w:r>
      </w:fldSimple>
      <w:r w:rsidR="00916E22">
        <w:instrText>)</w:instrText>
      </w:r>
      <w:bookmarkEnd w:id="3"/>
      <w:r>
        <w:fldChar w:fldCharType="end"/>
      </w:r>
    </w:p>
    <w:p w:rsidR="00916E22" w:rsidRDefault="00916E22" w:rsidP="00916E22">
      <w:pPr>
        <w:spacing w:line="480" w:lineRule="auto"/>
        <w:ind w:firstLine="720"/>
      </w:pP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m:t>
                </m:r>
              </m:sub>
            </m:sSub>
          </m:e>
        </m:d>
        <m:r>
          <w:rPr>
            <w:rFonts w:ascii="Cambria Math" w:hAnsi="Cambria Math"/>
          </w:rPr>
          <m:t>=</m:t>
        </m:r>
        <m:f>
          <m:fPr>
            <m:ctrlPr>
              <w:rPr>
                <w:rFonts w:ascii="Cambria Math" w:hAnsi="Cambria Math"/>
                <w:i/>
              </w:rPr>
            </m:ctrlPr>
          </m:fPr>
          <m:num>
            <m:r>
              <m:rPr>
                <m:sty m:val="p"/>
              </m:rPr>
              <w:rPr>
                <w:rFonts w:ascii="Cambria Math" w:hAnsi="Cambria Math"/>
              </w:rPr>
              <m:t>exp⁡</m:t>
            </m:r>
            <m:r>
              <w:rPr>
                <w:rFonts w:ascii="Cambria Math" w:hAnsi="Cambria Math"/>
              </w:rPr>
              <m:t>(-γ</m:t>
            </m:r>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m:t>
            </m:r>
          </m:num>
          <m:den>
            <m:r>
              <w:rPr>
                <w:rFonts w:ascii="Cambria Math" w:hAnsi="Cambria Math"/>
              </w:rPr>
              <m:t>1+</m:t>
            </m:r>
            <m:r>
              <m:rPr>
                <m:sty m:val="p"/>
              </m:rPr>
              <w:rPr>
                <w:rFonts w:ascii="Cambria Math" w:hAnsi="Cambria Math"/>
              </w:rPr>
              <m:t>exp⁡</m:t>
            </m:r>
            <m:r>
              <w:rPr>
                <w:rFonts w:ascii="Cambria Math" w:hAnsi="Cambria Math"/>
              </w:rPr>
              <m:t>(-γ</m:t>
            </m:r>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m:t>
            </m:r>
          </m:den>
        </m:f>
        <m:r>
          <w:rPr>
            <w:rFonts w:ascii="Cambria Math" w:hAnsi="Cambria Math"/>
          </w:rPr>
          <m:t>,   γ&gt;0</m:t>
        </m:r>
      </m:oMath>
      <w:r>
        <w:t xml:space="preserve"> </w:t>
      </w:r>
      <w:r>
        <w:tab/>
      </w:r>
      <w:r>
        <w:tab/>
      </w:r>
      <w:r>
        <w:tab/>
      </w:r>
      <w:r>
        <w:tab/>
      </w:r>
      <w:r>
        <w:tab/>
      </w:r>
      <w:r>
        <w:tab/>
      </w:r>
      <w:r>
        <w:tab/>
      </w:r>
      <w:r>
        <w:tab/>
      </w:r>
      <w:r w:rsidR="0062653A">
        <w:fldChar w:fldCharType="begin"/>
      </w:r>
      <w:r>
        <w:instrText xml:space="preserve"> MACROBUTTON MTPlaceRef \* MERGEFORMAT </w:instrText>
      </w:r>
      <w:r w:rsidR="0062653A">
        <w:fldChar w:fldCharType="begin"/>
      </w:r>
      <w:r w:rsidR="00F229BF">
        <w:instrText xml:space="preserve"> SEQ MTEqn \h \* MERGEFORMAT </w:instrText>
      </w:r>
      <w:r w:rsidR="0062653A">
        <w:fldChar w:fldCharType="end"/>
      </w:r>
      <w:r>
        <w:instrText>(</w:instrText>
      </w:r>
      <w:fldSimple w:instr=" SEQ MTEqn \c \* Arabic \* MERGEFORMAT ">
        <w:r w:rsidR="00E724CE">
          <w:rPr>
            <w:noProof/>
          </w:rPr>
          <w:instrText>4</w:instrText>
        </w:r>
      </w:fldSimple>
      <w:r>
        <w:instrText>)</w:instrText>
      </w:r>
      <w:r w:rsidR="0062653A">
        <w:fldChar w:fldCharType="end"/>
      </w:r>
    </w:p>
    <w:p w:rsidR="00916E22" w:rsidRDefault="00916E22" w:rsidP="00916E22">
      <w:pPr>
        <w:spacing w:line="480" w:lineRule="auto"/>
      </w:pPr>
      <w:r>
        <w:t xml:space="preserve">where </w:t>
      </w:r>
      <m:oMath>
        <m:sSub>
          <m:sSubPr>
            <m:ctrlPr>
              <w:rPr>
                <w:rFonts w:ascii="Cambria Math" w:hAnsi="Cambria Math"/>
                <w:i/>
              </w:rPr>
            </m:ctrlPr>
          </m:sSubPr>
          <m:e>
            <m:r>
              <m:rPr>
                <m:sty m:val="b"/>
              </m:rP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oMath>
      <w:r>
        <w:t xml:space="preserve"> is a vector of the logarithms of real government purchases, taxes net of transfers, and GDP, observed at a quarterly frequency; </w:t>
      </w:r>
      <w:r>
        <w:rPr>
          <w:i/>
        </w:rPr>
        <w:t>z</w:t>
      </w:r>
      <w:r>
        <w:t xml:space="preserve"> is an indicator of the state of the economy, normalized to have zero mean and unit variance; and the matrices </w:t>
      </w:r>
      <m:oMath>
        <m:sSub>
          <m:sSubPr>
            <m:ctrlPr>
              <w:rPr>
                <w:rFonts w:ascii="Cambria Math" w:hAnsi="Cambria Math"/>
                <w:i/>
              </w:rPr>
            </m:ctrlPr>
          </m:sSubPr>
          <m:e>
            <m:r>
              <m:rPr>
                <m:sty m:val="b"/>
              </m:rPr>
              <w:rPr>
                <w:rFonts w:ascii="Cambria Math" w:hAnsi="Cambria Math"/>
              </w:rPr>
              <m:t>Π</m:t>
            </m:r>
          </m:e>
          <m:sub>
            <m:r>
              <w:rPr>
                <w:rFonts w:ascii="Cambria Math" w:hAnsi="Cambria Math"/>
              </w:rPr>
              <m:t>i</m:t>
            </m:r>
          </m:sub>
        </m:sSub>
        <m:d>
          <m:dPr>
            <m:ctrlPr>
              <w:rPr>
                <w:rFonts w:ascii="Cambria Math" w:hAnsi="Cambria Math"/>
                <w:i/>
              </w:rPr>
            </m:ctrlPr>
          </m:dPr>
          <m:e>
            <m:r>
              <w:rPr>
                <w:rFonts w:ascii="Cambria Math" w:hAnsi="Cambria Math"/>
              </w:rPr>
              <m:t>L</m:t>
            </m:r>
          </m:e>
        </m:d>
      </m:oMath>
      <w:r>
        <w:t xml:space="preserve"> and </w:t>
      </w:r>
      <m:oMath>
        <m:sSub>
          <m:sSubPr>
            <m:ctrlPr>
              <w:rPr>
                <w:rFonts w:ascii="Cambria Math" w:hAnsi="Cambria Math"/>
                <w:i/>
              </w:rPr>
            </m:ctrlPr>
          </m:sSubPr>
          <m:e>
            <m:r>
              <m:rPr>
                <m:sty m:val="b"/>
              </m:rPr>
              <w:rPr>
                <w:rFonts w:ascii="Cambria Math" w:hAnsi="Cambria Math"/>
              </w:rPr>
              <m:t>Ω</m:t>
            </m:r>
          </m:e>
          <m:sub>
            <m:r>
              <w:rPr>
                <w:rFonts w:ascii="Cambria Math" w:hAnsi="Cambria Math"/>
              </w:rPr>
              <m:t>i</m:t>
            </m:r>
          </m:sub>
        </m:sSub>
        <m:d>
          <m:dPr>
            <m:ctrlPr>
              <w:rPr>
                <w:rFonts w:ascii="Cambria Math" w:hAnsi="Cambria Math"/>
                <w:i/>
              </w:rPr>
            </m:ctrlPr>
          </m:dPr>
          <m:e>
            <m:r>
              <w:rPr>
                <w:rFonts w:ascii="Cambria Math" w:hAnsi="Cambria Math"/>
              </w:rPr>
              <m:t>L</m:t>
            </m:r>
          </m:e>
        </m:d>
      </m:oMath>
      <w:r>
        <w:t xml:space="preserve"> representing the VAR coefficients and variance-covariance matrix of disturbances in two regimes, recession (</w:t>
      </w:r>
      <w:proofErr w:type="spellStart"/>
      <w:r>
        <w:rPr>
          <w:i/>
        </w:rPr>
        <w:t>i</w:t>
      </w:r>
      <w:proofErr w:type="spellEnd"/>
      <w:r>
        <w:rPr>
          <w:i/>
        </w:rPr>
        <w:t xml:space="preserve"> = R</w:t>
      </w:r>
      <w:r>
        <w:t>) and expansion (</w:t>
      </w:r>
      <w:proofErr w:type="spellStart"/>
      <w:r>
        <w:rPr>
          <w:i/>
        </w:rPr>
        <w:t>i</w:t>
      </w:r>
      <w:proofErr w:type="spellEnd"/>
      <w:r>
        <w:rPr>
          <w:i/>
        </w:rPr>
        <w:t xml:space="preserve"> = E</w:t>
      </w:r>
      <w:r>
        <w:t xml:space="preserve">).  The weights assigned to each regime for a given observation weighting function </w:t>
      </w:r>
      <w:r>
        <w:rPr>
          <w:i/>
        </w:rPr>
        <w:t>F</w:t>
      </w:r>
      <w:r>
        <w:t xml:space="preserve">(∙) vary between 0 and 1 according to the contemporaneous state of the economy, </w:t>
      </w:r>
      <w:r>
        <w:rPr>
          <w:i/>
        </w:rPr>
        <w:t>z</w:t>
      </w:r>
      <w:r>
        <w:t>, which we took to be a moving average of real GDP growth.</w:t>
      </w:r>
    </w:p>
    <w:p w:rsidR="00916E22" w:rsidRDefault="00916E22" w:rsidP="00916E22">
      <w:pPr>
        <w:spacing w:line="480" w:lineRule="auto"/>
        <w:ind w:firstLine="720"/>
        <w:rPr>
          <w:rFonts w:eastAsiaTheme="minorEastAsia"/>
        </w:rPr>
      </w:pPr>
      <w:r>
        <w:t xml:space="preserve">In our earlier paper, we considered a variety of approaches to extend this basic model to take account of real-time information regarding expectations of fiscal variables and GDP, available from a variety of sources.  One of these approaches, which we will use in this paper, was to include a direct measure of the unanticipated component of government purchases, equal to the difference between actual purchases </w:t>
      </w:r>
      <m:oMath>
        <m:sSub>
          <m:sSubPr>
            <m:ctrlPr>
              <w:rPr>
                <w:rFonts w:ascii="Cambria Math" w:hAnsi="Cambria Math"/>
                <w:i/>
              </w:rPr>
            </m:ctrlPr>
          </m:sSubPr>
          <m:e>
            <m:r>
              <w:rPr>
                <w:rFonts w:ascii="Cambria Math" w:hAnsi="Cambria Math"/>
              </w:rPr>
              <m:t>G</m:t>
            </m:r>
          </m:e>
          <m:sub>
            <m:r>
              <w:rPr>
                <w:rFonts w:ascii="Cambria Math" w:hAnsi="Cambria Math"/>
              </w:rPr>
              <m:t>t</m:t>
            </m:r>
          </m:sub>
        </m:sSub>
      </m:oMath>
      <w:r>
        <w:t xml:space="preserve"> and the forecast of this variable one period earlier, </w:t>
      </w:r>
      <m:oMath>
        <m:sSub>
          <m:sSubPr>
            <m:ctrlPr>
              <w:rPr>
                <w:rFonts w:ascii="Cambria Math" w:hAnsi="Cambria Math"/>
                <w:i/>
              </w:rPr>
            </m:ctrlPr>
          </m:sSubPr>
          <m:e>
            <m:r>
              <w:rPr>
                <w:rFonts w:ascii="Cambria Math" w:hAnsi="Cambria Math"/>
              </w:rPr>
              <m:t>G</m:t>
            </m:r>
          </m:e>
          <m:sub>
            <m:r>
              <w:rPr>
                <w:rFonts w:ascii="Cambria Math" w:hAnsi="Cambria Math"/>
              </w:rPr>
              <m:t>t|t-1</m:t>
            </m:r>
          </m:sub>
        </m:sSub>
      </m:oMath>
      <w:r>
        <w:t xml:space="preserve">.  That is, we estimated the SVAR for </w:t>
      </w:r>
      <m:oMath>
        <m:sSub>
          <m:sSubPr>
            <m:ctrlPr>
              <w:rPr>
                <w:rFonts w:ascii="Cambria Math" w:hAnsi="Cambria Math"/>
                <w:i/>
              </w:rPr>
            </m:ctrlPr>
          </m:sSubPr>
          <m:e>
            <m:acc>
              <m:accPr>
                <m:ctrlPr>
                  <w:rPr>
                    <w:rFonts w:ascii="Cambria Math" w:hAnsi="Cambria Math"/>
                    <w:i/>
                  </w:rPr>
                </m:ctrlPr>
              </m:accPr>
              <m:e>
                <m:r>
                  <m:rPr>
                    <m:sty m:val="b"/>
                  </m:rPr>
                  <w:rPr>
                    <w:rFonts w:ascii="Cambria Math" w:hAnsi="Cambria Math"/>
                  </w:rPr>
                  <m:t>X</m:t>
                </m:r>
              </m:e>
            </m:acc>
          </m:e>
          <m:sub>
            <m:r>
              <w:rPr>
                <w:rFonts w:ascii="Cambria Math" w:hAnsi="Cambria Math"/>
              </w:rPr>
              <m:t>t</m:t>
            </m:r>
          </m:sub>
        </m:sSub>
        <m:r>
          <w:rPr>
            <w:rFonts w:ascii="Cambria Math" w:hAnsi="Cambria Math"/>
          </w:rPr>
          <m:t>=[</m:t>
        </m:r>
        <m:sSubSup>
          <m:sSubSupPr>
            <m:ctrlPr>
              <w:rPr>
                <w:rFonts w:ascii="Cambria Math" w:hAnsi="Cambria Math"/>
                <w:i/>
              </w:rPr>
            </m:ctrlPr>
          </m:sSubSupPr>
          <m:e>
            <m:r>
              <w:rPr>
                <w:rFonts w:ascii="Cambria Math" w:hAnsi="Cambria Math"/>
              </w:rPr>
              <m:t>FE</m:t>
            </m:r>
          </m:e>
          <m:sub>
            <m:r>
              <w:rPr>
                <w:rFonts w:ascii="Cambria Math" w:hAnsi="Cambria Math"/>
              </w:rPr>
              <m:t>t</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G</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oMath>
      <w:r>
        <w:rPr>
          <w:rFonts w:eastAsiaTheme="minorEastAsia"/>
        </w:rPr>
        <w:t xml:space="preserve"> where </w:t>
      </w:r>
      <m:oMath>
        <m:sSubSup>
          <m:sSubSupPr>
            <m:ctrlPr>
              <w:rPr>
                <w:rFonts w:ascii="Cambria Math" w:hAnsi="Cambria Math"/>
                <w:i/>
              </w:rPr>
            </m:ctrlPr>
          </m:sSubSupPr>
          <m:e>
            <m:r>
              <w:rPr>
                <w:rFonts w:ascii="Cambria Math" w:hAnsi="Cambria Math"/>
              </w:rPr>
              <m:t>FE</m:t>
            </m:r>
          </m:e>
          <m:sub>
            <m:r>
              <w:rPr>
                <w:rFonts w:ascii="Cambria Math" w:hAnsi="Cambria Math"/>
              </w:rPr>
              <m:t>t</m:t>
            </m:r>
          </m:sub>
          <m:sup>
            <m:r>
              <w:rPr>
                <w:rFonts w:ascii="Cambria Math" w:hAnsi="Cambria Math"/>
              </w:rPr>
              <m:t>G</m:t>
            </m:r>
          </m:sup>
        </m:sSubSup>
        <m:r>
          <w:rPr>
            <w:rFonts w:ascii="Cambria Math" w:hAnsi="Cambria Math"/>
          </w:rPr>
          <m:t xml:space="preserve"> </m:t>
        </m:r>
      </m:oMath>
      <w:r>
        <w:rPr>
          <w:rFonts w:eastAsiaTheme="minorEastAsia"/>
        </w:rPr>
        <w:t xml:space="preserve"> is the forecast error computed as the difference between forecast series and actual, first-release series of the </w:t>
      </w:r>
      <w:r>
        <w:rPr>
          <w:rFonts w:eastAsiaTheme="minorEastAsia"/>
        </w:rPr>
        <w:lastRenderedPageBreak/>
        <w:t>government spending growth rate.</w:t>
      </w:r>
      <w:r>
        <w:rPr>
          <w:rStyle w:val="FootnoteReference"/>
        </w:rPr>
        <w:t xml:space="preserve"> </w:t>
      </w:r>
      <w:r>
        <w:rPr>
          <w:rStyle w:val="FootnoteReference"/>
        </w:rPr>
        <w:footnoteReference w:id="1"/>
      </w:r>
      <w:r>
        <w:rPr>
          <w:rStyle w:val="FootnoteReference"/>
        </w:rPr>
        <w:t xml:space="preserve">  </w:t>
      </w:r>
      <w:r>
        <w:t xml:space="preserve">Stacking </w:t>
      </w:r>
      <m:oMath>
        <m:sSubSup>
          <m:sSubSupPr>
            <m:ctrlPr>
              <w:rPr>
                <w:rFonts w:ascii="Cambria Math" w:hAnsi="Cambria Math"/>
                <w:i/>
              </w:rPr>
            </m:ctrlPr>
          </m:sSubSupPr>
          <m:e>
            <m:r>
              <w:rPr>
                <w:rFonts w:ascii="Cambria Math" w:hAnsi="Cambria Math"/>
              </w:rPr>
              <m:t>FE</m:t>
            </m:r>
          </m:e>
          <m:sub>
            <m:r>
              <w:rPr>
                <w:rFonts w:ascii="Cambria Math" w:hAnsi="Cambria Math"/>
              </w:rPr>
              <m:t>t</m:t>
            </m:r>
          </m:sub>
          <m:sup>
            <m:r>
              <w:rPr>
                <w:rFonts w:ascii="Cambria Math" w:hAnsi="Cambria Math"/>
              </w:rPr>
              <m:t>G</m:t>
            </m:r>
          </m:sup>
        </m:sSubSup>
        <m:r>
          <w:rPr>
            <w:rFonts w:ascii="Cambria Math" w:hAnsi="Cambria Math"/>
          </w:rPr>
          <m:t xml:space="preserve"> </m:t>
        </m:r>
      </m:oMath>
      <w:r>
        <w:rPr>
          <w:rFonts w:eastAsiaTheme="minorEastAsia"/>
        </w:rPr>
        <w:t>first in the SVAR, we could then estimate directly from the SVAR coefficients the multipliers for unanticipated government purchases.</w:t>
      </w:r>
    </w:p>
    <w:p w:rsidR="00916E22" w:rsidRDefault="00916E22" w:rsidP="00916E22">
      <w:pPr>
        <w:spacing w:line="480" w:lineRule="auto"/>
        <w:ind w:firstLine="720"/>
        <w:rPr>
          <w:rFonts w:eastAsiaTheme="minorEastAsia"/>
        </w:rPr>
      </w:pPr>
      <w:r>
        <w:rPr>
          <w:rFonts w:eastAsiaTheme="minorEastAsia"/>
        </w:rPr>
        <w:t xml:space="preserve">In this paper, we modify this approach in several ways.  First, we use data on several countries available from the OECD, for which consistent measures of actual and forecast values are available only at a semiannual frequency, rather than quarterly.  This lower frequency of observations, in conjunction with the availability of data starting at a later date than our data for the United States, substantially reduces the number of observations we have for any particular country.  For such short time series, our original approach, which involves highly nonlinear estimation of a large number of parameters, would be very challenging.  Therefore, we modify our approach in two ways.  First, we use panel estimation, allowing intercepts to vary by country but constraining other coefficients to be the same.  Second, rather than estimating the entire system of equations in the SVAR and using these to estimate impulse response functions (IRFs), we estimate the IRFs directly by </w:t>
      </w:r>
      <w:r w:rsidR="000D1D23">
        <w:rPr>
          <w:rFonts w:eastAsiaTheme="minorEastAsia"/>
        </w:rPr>
        <w:t>projecting a variable of interest</w:t>
      </w:r>
      <w:r w:rsidR="00572236">
        <w:rPr>
          <w:rFonts w:eastAsiaTheme="minorEastAsia"/>
        </w:rPr>
        <w:t xml:space="preserve"> on lags of variables entering the VAR</w:t>
      </w:r>
      <w:r w:rsidR="00806352">
        <w:rPr>
          <w:rFonts w:eastAsiaTheme="minorEastAsia"/>
        </w:rPr>
        <w:t xml:space="preserve"> or more generally variables capturing information available in a given time period</w:t>
      </w:r>
      <w:r w:rsidR="00572236">
        <w:rPr>
          <w:rFonts w:eastAsiaTheme="minorEastAsia"/>
        </w:rPr>
        <w:t xml:space="preserve">. This single-equation approach has been advocated by </w:t>
      </w:r>
      <w:proofErr w:type="spellStart"/>
      <w:r w:rsidR="00572236">
        <w:rPr>
          <w:rFonts w:eastAsiaTheme="minorEastAsia"/>
        </w:rPr>
        <w:t>Jorda</w:t>
      </w:r>
      <w:proofErr w:type="spellEnd"/>
      <w:r w:rsidR="00572236">
        <w:rPr>
          <w:rFonts w:eastAsiaTheme="minorEastAsia"/>
        </w:rPr>
        <w:t xml:space="preserve"> (2005) and others as a flexible alternative which does not impose dynamic restrictions implicitly embedded in VAR</w:t>
      </w:r>
      <w:r w:rsidR="00806352">
        <w:rPr>
          <w:rFonts w:eastAsiaTheme="minorEastAsia"/>
        </w:rPr>
        <w:t>s</w:t>
      </w:r>
      <w:r w:rsidR="00572236">
        <w:rPr>
          <w:rFonts w:eastAsiaTheme="minorEastAsia"/>
        </w:rPr>
        <w:t xml:space="preserve"> and </w:t>
      </w:r>
      <w:r w:rsidR="00806352">
        <w:rPr>
          <w:rFonts w:eastAsiaTheme="minorEastAsia"/>
        </w:rPr>
        <w:t xml:space="preserve">which </w:t>
      </w:r>
      <w:r w:rsidR="00572236">
        <w:rPr>
          <w:rFonts w:eastAsiaTheme="minorEastAsia"/>
        </w:rPr>
        <w:t xml:space="preserve">can conveniently accommodate nonlinearities in the response function. For example, when we use </w:t>
      </w:r>
      <w:r>
        <w:rPr>
          <w:rFonts w:eastAsiaTheme="minorEastAsia"/>
        </w:rPr>
        <w:t>GDP</w:t>
      </w:r>
      <w:r w:rsidR="00572236">
        <w:rPr>
          <w:rFonts w:eastAsiaTheme="minorEastAsia"/>
        </w:rPr>
        <w:t xml:space="preserve">, which we denote </w:t>
      </w:r>
      <w:proofErr w:type="gramStart"/>
      <w:r w:rsidR="00572236">
        <w:rPr>
          <w:rFonts w:eastAsiaTheme="minorEastAsia"/>
        </w:rPr>
        <w:t xml:space="preserve">with </w:t>
      </w:r>
      <m:oMath>
        <w:proofErr w:type="gramEnd"/>
        <m:r>
          <w:rPr>
            <w:rFonts w:ascii="Cambria Math" w:hAnsi="Cambria Math"/>
          </w:rPr>
          <m:t>Y</m:t>
        </m:r>
      </m:oMath>
      <w:r>
        <w:rPr>
          <w:rFonts w:eastAsiaTheme="minorEastAsia"/>
        </w:rPr>
        <w:t xml:space="preserve">, </w:t>
      </w:r>
      <w:r>
        <w:rPr>
          <w:rFonts w:eastAsiaTheme="minorEastAsia"/>
          <w:i/>
        </w:rPr>
        <w:t xml:space="preserve"> </w:t>
      </w:r>
      <w:r>
        <w:rPr>
          <w:rFonts w:eastAsiaTheme="minorEastAsia"/>
        </w:rPr>
        <w:t>as the dependent variable</w:t>
      </w:r>
      <w:r w:rsidR="00572236">
        <w:rPr>
          <w:rFonts w:eastAsiaTheme="minorEastAsia"/>
        </w:rPr>
        <w:t xml:space="preserve">, the response of </w:t>
      </w:r>
      <m:oMath>
        <m:r>
          <w:rPr>
            <w:rFonts w:ascii="Cambria Math" w:hAnsi="Cambria Math"/>
          </w:rPr>
          <m:t>Y</m:t>
        </m:r>
      </m:oMath>
      <w:r w:rsidR="00572236">
        <w:rPr>
          <w:rFonts w:eastAsiaTheme="minorEastAsia"/>
        </w:rPr>
        <w:t xml:space="preserve"> at the horizon </w:t>
      </w:r>
      <w:r w:rsidR="005D05BF" w:rsidRPr="005D05BF">
        <w:rPr>
          <w:rFonts w:eastAsiaTheme="minorEastAsia"/>
          <w:i/>
        </w:rPr>
        <w:t>h</w:t>
      </w:r>
      <w:r w:rsidR="00572236">
        <w:rPr>
          <w:rFonts w:eastAsiaTheme="minorEastAsia"/>
        </w:rPr>
        <w:t xml:space="preserve"> is estimated from the following regression</w:t>
      </w:r>
      <w:r>
        <w:rPr>
          <w:rFonts w:eastAsiaTheme="minorEastAsia"/>
        </w:rPr>
        <w:t xml:space="preserve">: </w:t>
      </w:r>
    </w:p>
    <w:p w:rsidR="00916E22" w:rsidRPr="000D1D23" w:rsidRDefault="0062653A" w:rsidP="00916E22">
      <m:oMath>
        <m:sSub>
          <m:sSubPr>
            <m:ctrlPr>
              <w:rPr>
                <w:rFonts w:ascii="Cambria Math" w:hAnsi="Cambria Math"/>
                <w:i/>
              </w:rPr>
            </m:ctrlPr>
          </m:sSubPr>
          <m:e>
            <m:r>
              <w:rPr>
                <w:rFonts w:ascii="Cambria Math" w:hAnsi="Cambria Math"/>
              </w:rPr>
              <m:t>Y</m:t>
            </m:r>
          </m:e>
          <m:sub>
            <m:r>
              <w:rPr>
                <w:rFonts w:ascii="Cambria Math" w:hAnsi="Cambria Math"/>
              </w:rPr>
              <m:t>i,t+h</m:t>
            </m:r>
          </m:sub>
        </m:sSub>
        <m:r>
          <w:rPr>
            <w:rFonts w:ascii="Cambria Math" w:eastAsiaTheme="minorEastAsia" w:hAnsi="Cambria Math"/>
          </w:rPr>
          <m:t>=</m:t>
        </m:r>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i,t-1</m:t>
                </m:r>
              </m:sub>
            </m:sSub>
          </m:e>
        </m:d>
        <m:sSub>
          <m:sSubPr>
            <m:ctrlPr>
              <w:rPr>
                <w:rFonts w:ascii="Cambria Math" w:hAnsi="Cambria Math"/>
                <w:i/>
              </w:rPr>
            </m:ctrlPr>
          </m:sSubPr>
          <m:e>
            <m:r>
              <m:rPr>
                <m:sty m:val="p"/>
              </m:rPr>
              <w:rPr>
                <w:rFonts w:ascii="Cambria Math" w:hAnsi="Cambria Math"/>
              </w:rPr>
              <m:t>Π</m:t>
            </m:r>
          </m:e>
          <m:sub>
            <m:r>
              <w:rPr>
                <w:rFonts w:ascii="Cambria Math" w:hAnsi="Cambria Math"/>
              </w:rPr>
              <m:t>R,h</m:t>
            </m:r>
          </m:sub>
        </m:sSub>
        <m:d>
          <m:dPr>
            <m:ctrlPr>
              <w:rPr>
                <w:rFonts w:ascii="Cambria Math" w:hAnsi="Cambria Math"/>
                <w:i/>
              </w:rPr>
            </m:ctrlPr>
          </m:dPr>
          <m:e>
            <m:r>
              <w:rPr>
                <w:rFonts w:ascii="Cambria Math" w:hAnsi="Cambria Math"/>
              </w:rPr>
              <m:t>L</m:t>
            </m:r>
          </m:e>
        </m:d>
        <m:sSub>
          <m:sSubPr>
            <m:ctrlPr>
              <w:rPr>
                <w:rFonts w:ascii="Cambria Math" w:hAnsi="Cambria Math"/>
                <w:i/>
              </w:rPr>
            </m:ctrlPr>
          </m:sSubPr>
          <m:e>
            <m:r>
              <w:rPr>
                <w:rFonts w:ascii="Cambria Math" w:hAnsi="Cambria Math"/>
              </w:rPr>
              <m:t>Y</m:t>
            </m:r>
          </m:e>
          <m:sub>
            <m:r>
              <w:rPr>
                <w:rFonts w:ascii="Cambria Math" w:hAnsi="Cambria Math"/>
              </w:rPr>
              <m:t>i,t-1</m:t>
            </m:r>
          </m:sub>
        </m:sSub>
        <m:r>
          <w:rPr>
            <w:rFonts w:ascii="Cambria Math" w:hAnsi="Cambria Math"/>
          </w:rPr>
          <m:t>+</m:t>
        </m:r>
        <m:d>
          <m:dPr>
            <m:ctrlPr>
              <w:rPr>
                <w:rFonts w:ascii="Cambria Math" w:hAnsi="Cambria Math"/>
                <w:i/>
              </w:rPr>
            </m:ctrlPr>
          </m:dPr>
          <m:e>
            <m:r>
              <w:rPr>
                <w:rFonts w:ascii="Cambria Math" w:hAnsi="Cambria Math"/>
              </w:rPr>
              <m:t>1-F</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i,t-1</m:t>
                    </m:r>
                  </m:sub>
                </m:sSub>
              </m:e>
            </m:d>
          </m:e>
        </m:d>
        <m:sSub>
          <m:sSubPr>
            <m:ctrlPr>
              <w:rPr>
                <w:rFonts w:ascii="Cambria Math" w:hAnsi="Cambria Math"/>
                <w:i/>
              </w:rPr>
            </m:ctrlPr>
          </m:sSubPr>
          <m:e>
            <m:r>
              <m:rPr>
                <m:sty m:val="p"/>
              </m:rPr>
              <w:rPr>
                <w:rFonts w:ascii="Cambria Math" w:hAnsi="Cambria Math"/>
              </w:rPr>
              <m:t>Π</m:t>
            </m:r>
          </m:e>
          <m:sub>
            <m:r>
              <w:rPr>
                <w:rFonts w:ascii="Cambria Math" w:hAnsi="Cambria Math"/>
              </w:rPr>
              <m:t>E,h</m:t>
            </m:r>
          </m:sub>
        </m:sSub>
        <m:d>
          <m:dPr>
            <m:ctrlPr>
              <w:rPr>
                <w:rFonts w:ascii="Cambria Math" w:hAnsi="Cambria Math"/>
                <w:i/>
              </w:rPr>
            </m:ctrlPr>
          </m:dPr>
          <m:e>
            <m:r>
              <w:rPr>
                <w:rFonts w:ascii="Cambria Math" w:hAnsi="Cambria Math"/>
              </w:rPr>
              <m:t>L</m:t>
            </m:r>
          </m:e>
        </m:d>
        <m:sSub>
          <m:sSubPr>
            <m:ctrlPr>
              <w:rPr>
                <w:rFonts w:ascii="Cambria Math" w:hAnsi="Cambria Math"/>
                <w:i/>
              </w:rPr>
            </m:ctrlPr>
          </m:sSubPr>
          <m:e>
            <m:r>
              <w:rPr>
                <w:rFonts w:ascii="Cambria Math" w:hAnsi="Cambria Math"/>
              </w:rPr>
              <m:t>Y</m:t>
            </m:r>
          </m:e>
          <m:sub>
            <m:r>
              <w:rPr>
                <w:rFonts w:ascii="Cambria Math" w:hAnsi="Cambria Math"/>
              </w:rPr>
              <m:t>i,t-1</m:t>
            </m:r>
          </m:sub>
        </m:sSub>
      </m:oMath>
      <w:r w:rsidR="00916E22" w:rsidRPr="000D1D23">
        <w:rPr>
          <w:rFonts w:eastAsiaTheme="minorEastAsia"/>
        </w:rPr>
        <w:t xml:space="preserve"> </w:t>
      </w:r>
    </w:p>
    <w:p w:rsidR="00916E22" w:rsidRPr="000D1D23" w:rsidRDefault="00916E22" w:rsidP="00916E22">
      <w:pPr>
        <w:ind w:firstLine="720"/>
        <w:rPr>
          <w:rFonts w:eastAsiaTheme="minorEastAsia"/>
        </w:rPr>
      </w:pP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i,t-1</m:t>
                </m:r>
              </m:sub>
            </m:sSub>
          </m:e>
        </m:d>
        <m:sSub>
          <m:sSubPr>
            <m:ctrlPr>
              <w:rPr>
                <w:rFonts w:ascii="Cambria Math" w:hAnsi="Cambria Math"/>
                <w:i/>
              </w:rPr>
            </m:ctrlPr>
          </m:sSubPr>
          <m:e>
            <m:r>
              <m:rPr>
                <m:sty m:val="p"/>
              </m:rPr>
              <w:rPr>
                <w:rFonts w:ascii="Cambria Math" w:hAnsi="Cambria Math"/>
              </w:rPr>
              <m:t>Ψ</m:t>
            </m:r>
          </m:e>
          <m:sub>
            <m:r>
              <w:rPr>
                <w:rFonts w:ascii="Cambria Math" w:hAnsi="Cambria Math"/>
              </w:rPr>
              <m:t>R,h</m:t>
            </m:r>
          </m:sub>
        </m:sSub>
        <m:d>
          <m:dPr>
            <m:ctrlPr>
              <w:rPr>
                <w:rFonts w:ascii="Cambria Math" w:hAnsi="Cambria Math"/>
                <w:i/>
              </w:rPr>
            </m:ctrlPr>
          </m:dPr>
          <m:e>
            <m:r>
              <w:rPr>
                <w:rFonts w:ascii="Cambria Math" w:hAnsi="Cambria Math"/>
              </w:rPr>
              <m:t>L</m:t>
            </m:r>
          </m:e>
        </m:d>
        <m:sSub>
          <m:sSubPr>
            <m:ctrlPr>
              <w:rPr>
                <w:rFonts w:ascii="Cambria Math" w:hAnsi="Cambria Math"/>
                <w:i/>
              </w:rPr>
            </m:ctrlPr>
          </m:sSubPr>
          <m:e>
            <m:r>
              <w:rPr>
                <w:rFonts w:ascii="Cambria Math" w:hAnsi="Cambria Math"/>
              </w:rPr>
              <m:t>G</m:t>
            </m:r>
          </m:e>
          <m:sub>
            <m:r>
              <w:rPr>
                <w:rFonts w:ascii="Cambria Math" w:hAnsi="Cambria Math"/>
              </w:rPr>
              <m:t>i,t-1</m:t>
            </m:r>
          </m:sub>
        </m:sSub>
        <m:r>
          <w:rPr>
            <w:rFonts w:ascii="Cambria Math" w:hAnsi="Cambria Math"/>
          </w:rPr>
          <m:t>+</m:t>
        </m:r>
        <m:d>
          <m:dPr>
            <m:ctrlPr>
              <w:rPr>
                <w:rFonts w:ascii="Cambria Math" w:hAnsi="Cambria Math"/>
                <w:i/>
              </w:rPr>
            </m:ctrlPr>
          </m:dPr>
          <m:e>
            <m:r>
              <w:rPr>
                <w:rFonts w:ascii="Cambria Math" w:hAnsi="Cambria Math"/>
              </w:rPr>
              <m:t>1-F</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i,t-1</m:t>
                    </m:r>
                  </m:sub>
                </m:sSub>
              </m:e>
            </m:d>
          </m:e>
        </m:d>
        <m:sSub>
          <m:sSubPr>
            <m:ctrlPr>
              <w:rPr>
                <w:rFonts w:ascii="Cambria Math" w:hAnsi="Cambria Math"/>
                <w:i/>
              </w:rPr>
            </m:ctrlPr>
          </m:sSubPr>
          <m:e>
            <m:r>
              <m:rPr>
                <m:sty m:val="p"/>
              </m:rPr>
              <w:rPr>
                <w:rFonts w:ascii="Cambria Math" w:hAnsi="Cambria Math"/>
              </w:rPr>
              <m:t>Ψ</m:t>
            </m:r>
          </m:e>
          <m:sub>
            <m:r>
              <w:rPr>
                <w:rFonts w:ascii="Cambria Math" w:hAnsi="Cambria Math"/>
              </w:rPr>
              <m:t>E,h</m:t>
            </m:r>
          </m:sub>
        </m:sSub>
        <m:d>
          <m:dPr>
            <m:ctrlPr>
              <w:rPr>
                <w:rFonts w:ascii="Cambria Math" w:hAnsi="Cambria Math"/>
                <w:i/>
              </w:rPr>
            </m:ctrlPr>
          </m:dPr>
          <m:e>
            <m:r>
              <w:rPr>
                <w:rFonts w:ascii="Cambria Math" w:hAnsi="Cambria Math"/>
              </w:rPr>
              <m:t>L</m:t>
            </m:r>
          </m:e>
        </m:d>
        <m:sSub>
          <m:sSubPr>
            <m:ctrlPr>
              <w:rPr>
                <w:rFonts w:ascii="Cambria Math" w:hAnsi="Cambria Math"/>
                <w:i/>
              </w:rPr>
            </m:ctrlPr>
          </m:sSubPr>
          <m:e>
            <m:r>
              <w:rPr>
                <w:rFonts w:ascii="Cambria Math" w:hAnsi="Cambria Math"/>
              </w:rPr>
              <m:t>G</m:t>
            </m:r>
          </m:e>
          <m:sub>
            <m:r>
              <w:rPr>
                <w:rFonts w:ascii="Cambria Math" w:hAnsi="Cambria Math"/>
              </w:rPr>
              <m:t>i,t-1</m:t>
            </m:r>
          </m:sub>
        </m:sSub>
      </m:oMath>
      <w:r w:rsidRPr="000D1D23">
        <w:rPr>
          <w:rFonts w:eastAsiaTheme="minorEastAsia"/>
        </w:rPr>
        <w:t xml:space="preserve"> </w:t>
      </w:r>
    </w:p>
    <w:p w:rsidR="00916E22" w:rsidRPr="000D1D23" w:rsidRDefault="00916E22" w:rsidP="00916E22">
      <w:pPr>
        <w:tabs>
          <w:tab w:val="left" w:pos="8640"/>
        </w:tabs>
        <w:spacing w:line="480" w:lineRule="auto"/>
        <w:ind w:firstLine="810"/>
      </w:pP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i,t-1</m:t>
                </m:r>
              </m:sub>
            </m:sSub>
          </m:e>
        </m:d>
        <m:sSub>
          <m:sSubPr>
            <m:ctrlPr>
              <w:rPr>
                <w:rFonts w:ascii="Cambria Math" w:hAnsi="Cambria Math"/>
                <w:i/>
              </w:rPr>
            </m:ctrlPr>
          </m:sSubPr>
          <m:e>
            <m:r>
              <m:rPr>
                <m:sty m:val="p"/>
              </m:rPr>
              <w:rPr>
                <w:rFonts w:ascii="Cambria Math" w:hAnsi="Cambria Math"/>
              </w:rPr>
              <m:t>Φ</m:t>
            </m:r>
          </m:e>
          <m:sub>
            <m:r>
              <w:rPr>
                <w:rFonts w:ascii="Cambria Math" w:hAnsi="Cambria Math"/>
              </w:rPr>
              <m:t>R,h</m:t>
            </m:r>
          </m:sub>
        </m:sSub>
        <m:sSubSup>
          <m:sSubSupPr>
            <m:ctrlPr>
              <w:rPr>
                <w:rFonts w:ascii="Cambria Math" w:hAnsi="Cambria Math"/>
                <w:i/>
              </w:rPr>
            </m:ctrlPr>
          </m:sSubSupPr>
          <m:e>
            <m:r>
              <w:rPr>
                <w:rFonts w:ascii="Cambria Math" w:hAnsi="Cambria Math"/>
              </w:rPr>
              <m:t>FE</m:t>
            </m:r>
          </m:e>
          <m:sub>
            <m:r>
              <w:rPr>
                <w:rFonts w:ascii="Cambria Math" w:hAnsi="Cambria Math"/>
              </w:rPr>
              <m:t>it</m:t>
            </m:r>
          </m:sub>
          <m:sup>
            <m:r>
              <w:rPr>
                <w:rFonts w:ascii="Cambria Math" w:hAnsi="Cambria Math"/>
              </w:rPr>
              <m:t>G</m:t>
            </m:r>
          </m:sup>
        </m:sSubSup>
        <m:r>
          <w:rPr>
            <w:rFonts w:ascii="Cambria Math" w:hAnsi="Cambria Math"/>
          </w:rPr>
          <m:t>+</m:t>
        </m:r>
        <m:d>
          <m:dPr>
            <m:ctrlPr>
              <w:rPr>
                <w:rFonts w:ascii="Cambria Math" w:hAnsi="Cambria Math"/>
                <w:i/>
              </w:rPr>
            </m:ctrlPr>
          </m:dPr>
          <m:e>
            <m:r>
              <w:rPr>
                <w:rFonts w:ascii="Cambria Math" w:hAnsi="Cambria Math"/>
              </w:rPr>
              <m:t>1-F</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i,t-1</m:t>
                    </m:r>
                  </m:sub>
                </m:sSub>
              </m:e>
            </m:d>
          </m:e>
        </m:d>
        <m:sSub>
          <m:sSubPr>
            <m:ctrlPr>
              <w:rPr>
                <w:rFonts w:ascii="Cambria Math" w:hAnsi="Cambria Math"/>
                <w:i/>
              </w:rPr>
            </m:ctrlPr>
          </m:sSubPr>
          <m:e>
            <m:r>
              <m:rPr>
                <m:sty m:val="p"/>
              </m:rPr>
              <w:rPr>
                <w:rFonts w:ascii="Cambria Math" w:hAnsi="Cambria Math"/>
              </w:rPr>
              <m:t>Φ</m:t>
            </m:r>
          </m:e>
          <m:sub>
            <m:r>
              <w:rPr>
                <w:rFonts w:ascii="Cambria Math" w:hAnsi="Cambria Math"/>
              </w:rPr>
              <m:t>E,h</m:t>
            </m:r>
          </m:sub>
        </m:sSub>
        <m:sSubSup>
          <m:sSubSupPr>
            <m:ctrlPr>
              <w:rPr>
                <w:rFonts w:ascii="Cambria Math" w:hAnsi="Cambria Math"/>
                <w:i/>
              </w:rPr>
            </m:ctrlPr>
          </m:sSubSupPr>
          <m:e>
            <m:r>
              <w:rPr>
                <w:rFonts w:ascii="Cambria Math" w:hAnsi="Cambria Math"/>
              </w:rPr>
              <m:t>FE</m:t>
            </m:r>
          </m:e>
          <m:sub>
            <m:r>
              <w:rPr>
                <w:rFonts w:ascii="Cambria Math" w:hAnsi="Cambria Math"/>
              </w:rPr>
              <m:t>it</m:t>
            </m:r>
          </m:sub>
          <m:sup>
            <m:r>
              <w:rPr>
                <w:rFonts w:ascii="Cambria Math" w:hAnsi="Cambria Math"/>
              </w:rPr>
              <m:t>G</m:t>
            </m:r>
          </m:sup>
        </m:sSubSup>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it</m:t>
            </m:r>
          </m:sub>
        </m:sSub>
      </m:oMath>
      <w:r w:rsidR="000D1D23">
        <w:rPr>
          <w:rFonts w:eastAsiaTheme="minorEastAsia"/>
        </w:rPr>
        <w:t>,</w:t>
      </w:r>
      <w:r w:rsidRPr="000D1D23">
        <w:rPr>
          <w:rFonts w:eastAsiaTheme="minorEastAsia"/>
        </w:rPr>
        <w:t xml:space="preserve">  </w:t>
      </w:r>
      <w:r w:rsidR="002A5BCE">
        <w:rPr>
          <w:rFonts w:eastAsiaTheme="minorEastAsia"/>
        </w:rPr>
        <w:tab/>
        <w:t>(1’)</w:t>
      </w:r>
    </w:p>
    <w:p w:rsidR="00174E55" w:rsidRDefault="000D1D23" w:rsidP="00916E22">
      <w:pPr>
        <w:spacing w:line="480" w:lineRule="auto"/>
      </w:pPr>
      <w:proofErr w:type="gramStart"/>
      <w:r>
        <w:t>with</w:t>
      </w:r>
      <w:proofErr w:type="gramEnd"/>
      <w:r w:rsidR="00174E55">
        <w:tab/>
      </w: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m:t>
                </m:r>
              </m:sub>
            </m:sSub>
          </m:e>
        </m:d>
        <m:r>
          <w:rPr>
            <w:rFonts w:ascii="Cambria Math" w:hAnsi="Cambria Math"/>
          </w:rPr>
          <m:t>=</m:t>
        </m:r>
        <m:f>
          <m:fPr>
            <m:ctrlPr>
              <w:rPr>
                <w:rFonts w:ascii="Cambria Math" w:hAnsi="Cambria Math"/>
                <w:i/>
              </w:rPr>
            </m:ctrlPr>
          </m:fPr>
          <m:num>
            <m:r>
              <m:rPr>
                <m:sty m:val="p"/>
              </m:rPr>
              <w:rPr>
                <w:rFonts w:ascii="Cambria Math" w:hAnsi="Cambria Math"/>
              </w:rPr>
              <m:t>exp⁡</m:t>
            </m:r>
            <m:r>
              <w:rPr>
                <w:rFonts w:ascii="Cambria Math" w:hAnsi="Cambria Math"/>
              </w:rPr>
              <m:t>(-γ</m:t>
            </m:r>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m:t>
            </m:r>
          </m:num>
          <m:den>
            <m:r>
              <w:rPr>
                <w:rFonts w:ascii="Cambria Math" w:hAnsi="Cambria Math"/>
              </w:rPr>
              <m:t>1+</m:t>
            </m:r>
            <m:r>
              <m:rPr>
                <m:sty m:val="p"/>
              </m:rPr>
              <w:rPr>
                <w:rFonts w:ascii="Cambria Math" w:hAnsi="Cambria Math"/>
              </w:rPr>
              <m:t>exp⁡</m:t>
            </m:r>
            <m:r>
              <w:rPr>
                <w:rFonts w:ascii="Cambria Math" w:hAnsi="Cambria Math"/>
              </w:rPr>
              <m:t>(-γ</m:t>
            </m:r>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m:t>
            </m:r>
          </m:den>
        </m:f>
        <m:r>
          <w:rPr>
            <w:rFonts w:ascii="Cambria Math" w:hAnsi="Cambria Math"/>
          </w:rPr>
          <m:t>,   γ&gt;0</m:t>
        </m:r>
      </m:oMath>
      <w:r>
        <w:t xml:space="preserve">, </w:t>
      </w:r>
    </w:p>
    <w:p w:rsidR="00E32B16" w:rsidRDefault="00916E22" w:rsidP="00916E22">
      <w:pPr>
        <w:spacing w:line="480" w:lineRule="auto"/>
      </w:pPr>
      <w:proofErr w:type="gramStart"/>
      <w:r>
        <w:lastRenderedPageBreak/>
        <w:t>where</w:t>
      </w:r>
      <w:proofErr w:type="gramEnd"/>
      <w:r>
        <w:t xml:space="preserve"> </w:t>
      </w:r>
      <w:proofErr w:type="spellStart"/>
      <w:r>
        <w:rPr>
          <w:i/>
        </w:rPr>
        <w:t>i</w:t>
      </w:r>
      <w:proofErr w:type="spellEnd"/>
      <w:r>
        <w:t xml:space="preserve"> and</w:t>
      </w:r>
      <w:r>
        <w:rPr>
          <w:i/>
        </w:rPr>
        <w:t xml:space="preserve"> t</w:t>
      </w:r>
      <w:r>
        <w:t xml:space="preserve"> index countries and time, </w:t>
      </w:r>
      <m:oMath>
        <m:sSub>
          <m:sSubPr>
            <m:ctrlPr>
              <w:rPr>
                <w:rFonts w:ascii="Cambria Math" w:hAnsi="Cambria Math"/>
                <w:i/>
              </w:rPr>
            </m:ctrlPr>
          </m:sSubPr>
          <m:e>
            <m:r>
              <w:rPr>
                <w:rFonts w:ascii="Cambria Math" w:hAnsi="Cambria Math"/>
              </w:rPr>
              <m:t>α</m:t>
            </m:r>
          </m:e>
          <m:sub>
            <m:r>
              <w:rPr>
                <w:rFonts w:ascii="Cambria Math" w:hAnsi="Cambria Math"/>
              </w:rPr>
              <m:t>i</m:t>
            </m:r>
          </m:sub>
        </m:sSub>
      </m:oMath>
      <w:r>
        <w:t xml:space="preserve"> is the country fixed effect, </w:t>
      </w:r>
      <m:oMath>
        <m:r>
          <w:rPr>
            <w:rFonts w:ascii="Cambria Math" w:hAnsi="Cambria Math"/>
          </w:rPr>
          <m:t>F</m:t>
        </m:r>
        <m:d>
          <m:dPr>
            <m:ctrlPr>
              <w:rPr>
                <w:rFonts w:ascii="Cambria Math" w:hAnsi="Cambria Math"/>
                <w:i/>
              </w:rPr>
            </m:ctrlPr>
          </m:dPr>
          <m:e>
            <m:r>
              <w:rPr>
                <w:rFonts w:ascii="Cambria Math" w:hAnsi="Cambria Math"/>
              </w:rPr>
              <m:t>∙</m:t>
            </m:r>
          </m:e>
        </m:d>
      </m:oMath>
      <w:r>
        <w:t xml:space="preserve"> is the transition function,  </w:t>
      </w:r>
      <m:oMath>
        <m:sSub>
          <m:sSubPr>
            <m:ctrlPr>
              <w:rPr>
                <w:rFonts w:ascii="Cambria Math" w:hAnsi="Cambria Math"/>
                <w:i/>
              </w:rPr>
            </m:ctrlPr>
          </m:sSubPr>
          <m:e>
            <m:r>
              <w:rPr>
                <w:rFonts w:ascii="Cambria Math" w:hAnsi="Cambria Math"/>
              </w:rPr>
              <m:t>z</m:t>
            </m:r>
          </m:e>
          <m:sub>
            <m:r>
              <w:rPr>
                <w:rFonts w:ascii="Cambria Math" w:hAnsi="Cambria Math"/>
              </w:rPr>
              <m:t>i,t-1</m:t>
            </m:r>
          </m:sub>
        </m:sSub>
      </m:oMath>
      <w:r>
        <w:t xml:space="preserve"> is a variable measuring the state of the business cycle, </w:t>
      </w:r>
      <m:oMath>
        <m:sSubSup>
          <m:sSubSupPr>
            <m:ctrlPr>
              <w:rPr>
                <w:rFonts w:ascii="Cambria Math" w:hAnsi="Cambria Math"/>
                <w:i/>
              </w:rPr>
            </m:ctrlPr>
          </m:sSubSupPr>
          <m:e>
            <m:r>
              <w:rPr>
                <w:rFonts w:ascii="Cambria Math" w:hAnsi="Cambria Math"/>
              </w:rPr>
              <m:t>FE</m:t>
            </m:r>
          </m:e>
          <m:sub>
            <m:r>
              <w:rPr>
                <w:rFonts w:ascii="Cambria Math" w:hAnsi="Cambria Math"/>
              </w:rPr>
              <m:t>it</m:t>
            </m:r>
          </m:sub>
          <m:sup>
            <m:r>
              <w:rPr>
                <w:rFonts w:ascii="Cambria Math" w:hAnsi="Cambria Math"/>
              </w:rPr>
              <m:t>G</m:t>
            </m:r>
          </m:sup>
        </m:sSubSup>
      </m:oMath>
      <w:r>
        <w:t xml:space="preserve"> is the forecast error for the growth rate of government spending in the forecasts prepared by professional forecasters at time </w:t>
      </w:r>
      <m:oMath>
        <m:r>
          <w:rPr>
            <w:rFonts w:ascii="Cambria Math" w:hAnsi="Cambria Math"/>
          </w:rPr>
          <m:t>t-1</m:t>
        </m:r>
      </m:oMath>
      <w:r>
        <w:t xml:space="preserve"> for period </w:t>
      </w:r>
      <m:oMath>
        <m:r>
          <w:rPr>
            <w:rFonts w:ascii="Cambria Math" w:hAnsi="Cambria Math"/>
          </w:rPr>
          <m:t>t</m:t>
        </m:r>
      </m:oMath>
      <w:r>
        <w:t xml:space="preserve">. </w:t>
      </w:r>
    </w:p>
    <w:p w:rsidR="007755BC" w:rsidRDefault="00916E22">
      <w:pPr>
        <w:spacing w:line="480" w:lineRule="auto"/>
        <w:ind w:firstLine="720"/>
      </w:pPr>
      <w:r>
        <w:t xml:space="preserve">We interpret </w:t>
      </w:r>
      <m:oMath>
        <m:sSubSup>
          <m:sSubSupPr>
            <m:ctrlPr>
              <w:rPr>
                <w:rFonts w:ascii="Cambria Math" w:hAnsi="Cambria Math"/>
                <w:i/>
              </w:rPr>
            </m:ctrlPr>
          </m:sSubSupPr>
          <m:e>
            <m:r>
              <w:rPr>
                <w:rFonts w:ascii="Cambria Math" w:hAnsi="Cambria Math"/>
              </w:rPr>
              <m:t>FE</m:t>
            </m:r>
          </m:e>
          <m:sub>
            <m:r>
              <w:rPr>
                <w:rFonts w:ascii="Cambria Math" w:hAnsi="Cambria Math"/>
              </w:rPr>
              <m:t>it</m:t>
            </m:r>
          </m:sub>
          <m:sup>
            <m:r>
              <w:rPr>
                <w:rFonts w:ascii="Cambria Math" w:hAnsi="Cambria Math"/>
              </w:rPr>
              <m:t>G</m:t>
            </m:r>
          </m:sup>
        </m:sSubSup>
      </m:oMath>
      <w:r>
        <w:t xml:space="preserve"> as the surprise government spending shock. </w:t>
      </w:r>
      <w:r w:rsidR="00E32B16">
        <w:t xml:space="preserve">This treatment of what constitutes a shock is consistent with Ramey (2011) and Auerbach and Gorodnichenko (2011) where changes in spending are projected on professional forecasts to construct a series on unanticipated innovations in spending.  </w:t>
      </w:r>
      <w:r>
        <w:t xml:space="preserve">Observe that by controlling for information contained in lags of </w:t>
      </w:r>
      <m:oMath>
        <m:r>
          <w:rPr>
            <w:rFonts w:ascii="Cambria Math" w:hAnsi="Cambria Math"/>
          </w:rPr>
          <m:t>Y</m:t>
        </m:r>
      </m:oMath>
      <w:r>
        <w:t xml:space="preserve"> and </w:t>
      </w:r>
      <m:oMath>
        <m:r>
          <w:rPr>
            <w:rFonts w:ascii="Cambria Math" w:hAnsi="Cambria Math"/>
          </w:rPr>
          <m:t>G</m:t>
        </m:r>
      </m:oMath>
      <w:r>
        <w:t xml:space="preserve"> we purify </w:t>
      </w:r>
      <m:oMath>
        <m:sSubSup>
          <m:sSubSupPr>
            <m:ctrlPr>
              <w:rPr>
                <w:rFonts w:ascii="Cambria Math" w:hAnsi="Cambria Math"/>
                <w:i/>
              </w:rPr>
            </m:ctrlPr>
          </m:sSubSupPr>
          <m:e>
            <m:r>
              <w:rPr>
                <w:rFonts w:ascii="Cambria Math" w:hAnsi="Cambria Math"/>
              </w:rPr>
              <m:t>FE</m:t>
            </m:r>
          </m:e>
          <m:sub>
            <m:r>
              <w:rPr>
                <w:rFonts w:ascii="Cambria Math" w:hAnsi="Cambria Math"/>
              </w:rPr>
              <m:t>it</m:t>
            </m:r>
          </m:sub>
          <m:sup>
            <m:r>
              <w:rPr>
                <w:rFonts w:ascii="Cambria Math" w:hAnsi="Cambria Math"/>
              </w:rPr>
              <m:t>G</m:t>
            </m:r>
          </m:sup>
        </m:sSubSup>
      </m:oMath>
      <w:r>
        <w:t xml:space="preserve"> </w:t>
      </w:r>
      <w:r w:rsidR="00DE740F">
        <w:t xml:space="preserve">of </w:t>
      </w:r>
      <w:r>
        <w:t xml:space="preserve">any predictable component </w:t>
      </w:r>
      <w:r w:rsidR="005D25EC">
        <w:t xml:space="preserve">that would have been eliminated had the </w:t>
      </w:r>
      <w:r>
        <w:t>professional forecaster r</w:t>
      </w:r>
      <w:r w:rsidR="005D25EC">
        <w:t>u</w:t>
      </w:r>
      <w:r>
        <w:t xml:space="preserve">n a VAR.  The fact that we include government spending shock  </w:t>
      </w:r>
      <m:oMath>
        <m:sSubSup>
          <m:sSubSupPr>
            <m:ctrlPr>
              <w:rPr>
                <w:rFonts w:ascii="Cambria Math" w:hAnsi="Cambria Math"/>
                <w:i/>
              </w:rPr>
            </m:ctrlPr>
          </m:sSubSupPr>
          <m:e>
            <m:r>
              <w:rPr>
                <w:rFonts w:ascii="Cambria Math" w:hAnsi="Cambria Math"/>
              </w:rPr>
              <m:t>FE</m:t>
            </m:r>
          </m:e>
          <m:sub>
            <m:r>
              <w:rPr>
                <w:rFonts w:ascii="Cambria Math" w:hAnsi="Cambria Math"/>
              </w:rPr>
              <m:t>it</m:t>
            </m:r>
          </m:sub>
          <m:sup>
            <m:r>
              <w:rPr>
                <w:rFonts w:ascii="Cambria Math" w:hAnsi="Cambria Math"/>
              </w:rPr>
              <m:t>G</m:t>
            </m:r>
          </m:sup>
        </m:sSubSup>
      </m:oMath>
      <w:r>
        <w:t xml:space="preserve">  dated by time is consistent with the recursive ordering of government spending first in the </w:t>
      </w:r>
      <w:proofErr w:type="spellStart"/>
      <w:r w:rsidR="00DE740F">
        <w:t>VARs</w:t>
      </w:r>
      <w:r>
        <w:t>.</w:t>
      </w:r>
      <w:proofErr w:type="spellEnd"/>
      <w:r>
        <w:t xml:space="preserve"> This contemporaneous response of output to government spending in the VAR is embodied in the Cholesky decomposition of </w:t>
      </w:r>
      <m:oMath>
        <m:sSub>
          <m:sSubPr>
            <m:ctrlPr>
              <w:rPr>
                <w:rFonts w:ascii="Cambria Math" w:hAnsi="Cambria Math"/>
              </w:rPr>
            </m:ctrlPr>
          </m:sSubPr>
          <m:e>
            <m:r>
              <m:rPr>
                <m:sty m:val="p"/>
              </m:rPr>
              <w:rPr>
                <w:rFonts w:ascii="Cambria Math" w:hAnsi="Cambria Math"/>
              </w:rPr>
              <m:t>Ω</m:t>
            </m:r>
          </m:e>
          <m:sub>
            <m:r>
              <w:rPr>
                <w:rFonts w:ascii="Cambria Math" w:hAnsi="Cambria Math"/>
              </w:rPr>
              <m:t>t</m:t>
            </m:r>
          </m:sub>
        </m:sSub>
      </m:oMath>
      <w:r>
        <w:t xml:space="preserve"> in equation 3. Also note that lag polynomials </w:t>
      </w:r>
      <m:oMath>
        <m:sSub>
          <m:sSubPr>
            <m:ctrlPr>
              <w:rPr>
                <w:rFonts w:ascii="Cambria Math" w:hAnsi="Cambria Math"/>
                <w:i/>
              </w:rPr>
            </m:ctrlPr>
          </m:sSubPr>
          <m:e>
            <m:r>
              <w:rPr>
                <w:rFonts w:ascii="Cambria Math" w:hAnsi="Cambria Math"/>
              </w:rPr>
              <m:t>Π</m:t>
            </m:r>
          </m:e>
          <m:sub>
            <m:r>
              <w:rPr>
                <w:rFonts w:ascii="Cambria Math" w:hAnsi="Cambria Math"/>
              </w:rPr>
              <m:t>R,h</m:t>
            </m:r>
          </m:sub>
        </m:sSub>
        <m:d>
          <m:dPr>
            <m:ctrlPr>
              <w:rPr>
                <w:rFonts w:ascii="Cambria Math" w:hAnsi="Cambria Math"/>
                <w:i/>
              </w:rPr>
            </m:ctrlPr>
          </m:dPr>
          <m:e>
            <m:r>
              <w:rPr>
                <w:rFonts w:ascii="Cambria Math" w:hAnsi="Cambria Math"/>
              </w:rPr>
              <m:t>L</m:t>
            </m:r>
          </m:e>
        </m:d>
      </m:oMath>
      <w:r>
        <w:t xml:space="preserve"> and </w:t>
      </w:r>
      <m:oMath>
        <m:sSub>
          <m:sSubPr>
            <m:ctrlPr>
              <w:rPr>
                <w:rFonts w:ascii="Cambria Math" w:hAnsi="Cambria Math"/>
                <w:i/>
              </w:rPr>
            </m:ctrlPr>
          </m:sSubPr>
          <m:e>
            <m:r>
              <m:rPr>
                <m:sty m:val="p"/>
              </m:rPr>
              <w:rPr>
                <w:rFonts w:ascii="Cambria Math" w:hAnsi="Cambria Math"/>
              </w:rPr>
              <m:t>Ψ</m:t>
            </m:r>
          </m:e>
          <m:sub>
            <m:r>
              <w:rPr>
                <w:rFonts w:ascii="Cambria Math" w:hAnsi="Cambria Math"/>
              </w:rPr>
              <m:t>R,h</m:t>
            </m:r>
          </m:sub>
        </m:sSub>
        <m:d>
          <m:dPr>
            <m:ctrlPr>
              <w:rPr>
                <w:rFonts w:ascii="Cambria Math" w:hAnsi="Cambria Math"/>
                <w:i/>
              </w:rPr>
            </m:ctrlPr>
          </m:dPr>
          <m:e>
            <m:r>
              <w:rPr>
                <w:rFonts w:ascii="Cambria Math" w:hAnsi="Cambria Math"/>
              </w:rPr>
              <m:t>L</m:t>
            </m:r>
          </m:e>
        </m:d>
      </m:oMath>
      <w:r>
        <w:t xml:space="preserve"> for recessionary regime and </w:t>
      </w:r>
      <m:oMath>
        <m:sSub>
          <m:sSubPr>
            <m:ctrlPr>
              <w:rPr>
                <w:rFonts w:ascii="Cambria Math" w:hAnsi="Cambria Math"/>
                <w:i/>
              </w:rPr>
            </m:ctrlPr>
          </m:sSubPr>
          <m:e>
            <m:r>
              <w:rPr>
                <w:rFonts w:ascii="Cambria Math" w:hAnsi="Cambria Math"/>
              </w:rPr>
              <m:t>Π</m:t>
            </m:r>
          </m:e>
          <m:sub>
            <m:r>
              <w:rPr>
                <w:rFonts w:ascii="Cambria Math" w:hAnsi="Cambria Math"/>
              </w:rPr>
              <m:t>E,h</m:t>
            </m:r>
          </m:sub>
        </m:sSub>
        <m:r>
          <w:rPr>
            <w:rFonts w:ascii="Cambria Math" w:hAnsi="Cambria Math"/>
          </w:rPr>
          <m:t>(L)</m:t>
        </m:r>
      </m:oMath>
      <w:r>
        <w:t xml:space="preserve"> and </w:t>
      </w:r>
      <m:oMath>
        <m:sSub>
          <m:sSubPr>
            <m:ctrlPr>
              <w:rPr>
                <w:rFonts w:ascii="Cambria Math" w:hAnsi="Cambria Math"/>
                <w:i/>
              </w:rPr>
            </m:ctrlPr>
          </m:sSubPr>
          <m:e>
            <m:r>
              <m:rPr>
                <m:sty m:val="p"/>
              </m:rPr>
              <w:rPr>
                <w:rFonts w:ascii="Cambria Math" w:hAnsi="Cambria Math"/>
              </w:rPr>
              <m:t>Ψ</m:t>
            </m:r>
          </m:e>
          <m:sub>
            <m:r>
              <w:rPr>
                <w:rFonts w:ascii="Cambria Math" w:hAnsi="Cambria Math"/>
              </w:rPr>
              <m:t>E,h</m:t>
            </m:r>
          </m:sub>
        </m:sSub>
        <m:r>
          <w:rPr>
            <w:rFonts w:ascii="Cambria Math" w:hAnsi="Cambria Math"/>
          </w:rPr>
          <m:t>(L)</m:t>
        </m:r>
      </m:oMath>
      <w:r>
        <w:t xml:space="preserve"> for the expansionary regime depend on the forecasting horizon </w:t>
      </w:r>
      <w:r>
        <w:rPr>
          <w:i/>
        </w:rPr>
        <w:t>h</w:t>
      </w:r>
      <w:r>
        <w:t xml:space="preserve">, that is, for each horizon </w:t>
      </w:r>
      <w:r>
        <w:rPr>
          <w:i/>
        </w:rPr>
        <w:t>h</w:t>
      </w:r>
      <w:r>
        <w:t xml:space="preserve"> we estimate a different set of coefficients. However, in contrast to the STVAR, we do not use the dynamics implied </w:t>
      </w:r>
      <w:proofErr w:type="gramStart"/>
      <w:r>
        <w:t xml:space="preserve">by </w:t>
      </w:r>
      <m:oMath>
        <w:proofErr w:type="gramEnd"/>
        <m:r>
          <w:rPr>
            <w:rFonts w:ascii="Cambria Math" w:hAnsi="Cambria Math"/>
          </w:rPr>
          <m:t>{</m:t>
        </m:r>
        <m:sSub>
          <m:sSubPr>
            <m:ctrlPr>
              <w:rPr>
                <w:rFonts w:ascii="Cambria Math" w:hAnsi="Cambria Math"/>
                <w:i/>
              </w:rPr>
            </m:ctrlPr>
          </m:sSubPr>
          <m:e>
            <m:r>
              <w:rPr>
                <w:rFonts w:ascii="Cambria Math" w:hAnsi="Cambria Math"/>
              </w:rPr>
              <m:t>Π</m:t>
            </m:r>
          </m:e>
          <m:sub>
            <m:r>
              <w:rPr>
                <w:rFonts w:ascii="Cambria Math" w:hAnsi="Cambria Math"/>
              </w:rPr>
              <m:t>R,h</m:t>
            </m:r>
          </m:sub>
        </m:sSub>
        <m:d>
          <m:dPr>
            <m:ctrlPr>
              <w:rPr>
                <w:rFonts w:ascii="Cambria Math" w:hAnsi="Cambria Math"/>
                <w:i/>
              </w:rPr>
            </m:ctrlPr>
          </m:dPr>
          <m:e>
            <m:r>
              <w:rPr>
                <w:rFonts w:ascii="Cambria Math" w:hAnsi="Cambria Math"/>
              </w:rPr>
              <m:t>L</m:t>
            </m:r>
          </m:e>
        </m:d>
        <m:r>
          <w:rPr>
            <w:rFonts w:ascii="Cambria Math" w:hAnsi="Cambria Math"/>
          </w:rPr>
          <m:t>,</m:t>
        </m:r>
        <m:sSub>
          <m:sSubPr>
            <m:ctrlPr>
              <w:rPr>
                <w:rFonts w:ascii="Cambria Math" w:hAnsi="Cambria Math"/>
                <w:i/>
              </w:rPr>
            </m:ctrlPr>
          </m:sSubPr>
          <m:e>
            <m:r>
              <m:rPr>
                <m:sty m:val="p"/>
              </m:rPr>
              <w:rPr>
                <w:rFonts w:ascii="Cambria Math" w:hAnsi="Cambria Math"/>
              </w:rPr>
              <m:t>Ψ</m:t>
            </m:r>
          </m:e>
          <m:sub>
            <m:r>
              <w:rPr>
                <w:rFonts w:ascii="Cambria Math" w:hAnsi="Cambria Math"/>
              </w:rPr>
              <m:t>R,h</m:t>
            </m:r>
          </m:sub>
        </m:sSub>
        <m:d>
          <m:dPr>
            <m:ctrlPr>
              <w:rPr>
                <w:rFonts w:ascii="Cambria Math" w:hAnsi="Cambria Math"/>
                <w:i/>
              </w:rPr>
            </m:ctrlPr>
          </m:dPr>
          <m:e>
            <m:r>
              <w:rPr>
                <w:rFonts w:ascii="Cambria Math" w:hAnsi="Cambria Math"/>
              </w:rPr>
              <m:t>L</m:t>
            </m:r>
          </m:e>
        </m:d>
        <m:r>
          <w:rPr>
            <w:rFonts w:ascii="Cambria Math" w:hAnsi="Cambria Math"/>
          </w:rPr>
          <m:t>,</m:t>
        </m:r>
        <m:sSub>
          <m:sSubPr>
            <m:ctrlPr>
              <w:rPr>
                <w:rFonts w:ascii="Cambria Math" w:hAnsi="Cambria Math"/>
                <w:i/>
              </w:rPr>
            </m:ctrlPr>
          </m:sSubPr>
          <m:e>
            <m:r>
              <w:rPr>
                <w:rFonts w:ascii="Cambria Math" w:hAnsi="Cambria Math"/>
              </w:rPr>
              <m:t>Π</m:t>
            </m:r>
          </m:e>
          <m:sub>
            <m:r>
              <w:rPr>
                <w:rFonts w:ascii="Cambria Math" w:hAnsi="Cambria Math"/>
              </w:rPr>
              <m:t>E,h</m:t>
            </m:r>
          </m:sub>
        </m:sSub>
        <m:d>
          <m:dPr>
            <m:ctrlPr>
              <w:rPr>
                <w:rFonts w:ascii="Cambria Math" w:hAnsi="Cambria Math"/>
                <w:i/>
              </w:rPr>
            </m:ctrlPr>
          </m:dPr>
          <m:e>
            <m:r>
              <w:rPr>
                <w:rFonts w:ascii="Cambria Math" w:hAnsi="Cambria Math"/>
              </w:rPr>
              <m:t>L</m:t>
            </m:r>
          </m:e>
        </m:d>
        <m:r>
          <w:rPr>
            <w:rFonts w:ascii="Cambria Math" w:hAnsi="Cambria Math"/>
          </w:rPr>
          <m:t>,</m:t>
        </m:r>
        <m:sSub>
          <m:sSubPr>
            <m:ctrlPr>
              <w:rPr>
                <w:rFonts w:ascii="Cambria Math" w:hAnsi="Cambria Math"/>
                <w:i/>
              </w:rPr>
            </m:ctrlPr>
          </m:sSubPr>
          <m:e>
            <m:r>
              <m:rPr>
                <m:sty m:val="p"/>
              </m:rPr>
              <w:rPr>
                <w:rFonts w:ascii="Cambria Math" w:hAnsi="Cambria Math"/>
              </w:rPr>
              <m:t>Ψ</m:t>
            </m:r>
          </m:e>
          <m:sub>
            <m:r>
              <w:rPr>
                <w:rFonts w:ascii="Cambria Math" w:hAnsi="Cambria Math"/>
              </w:rPr>
              <m:t>E,h</m:t>
            </m:r>
          </m:sub>
        </m:sSub>
        <m:d>
          <m:dPr>
            <m:ctrlPr>
              <w:rPr>
                <w:rFonts w:ascii="Cambria Math" w:hAnsi="Cambria Math"/>
                <w:i/>
              </w:rPr>
            </m:ctrlPr>
          </m:dPr>
          <m:e>
            <m:r>
              <w:rPr>
                <w:rFonts w:ascii="Cambria Math" w:hAnsi="Cambria Math"/>
              </w:rPr>
              <m:t>L</m:t>
            </m:r>
          </m:e>
        </m:d>
        <m:r>
          <w:rPr>
            <w:rFonts w:ascii="Cambria Math" w:hAnsi="Cambria Math"/>
          </w:rPr>
          <m:t>}</m:t>
        </m:r>
      </m:oMath>
      <w:r>
        <w:t xml:space="preserve">. Instead we can directly read the impulse responses off estimated </w:t>
      </w:r>
      <m:oMath>
        <m:sSubSup>
          <m:sSubSupPr>
            <m:ctrlPr>
              <w:rPr>
                <w:rFonts w:ascii="Cambria Math" w:hAnsi="Cambria Math"/>
              </w:rPr>
            </m:ctrlPr>
          </m:sSubSupPr>
          <m:e>
            <m:r>
              <m:rPr>
                <m:sty m:val="p"/>
              </m:rPr>
              <w:rPr>
                <w:rFonts w:ascii="Cambria Math" w:hAnsi="Cambria Math"/>
              </w:rPr>
              <m:t>{</m:t>
            </m:r>
            <m:sSub>
              <m:sSubPr>
                <m:ctrlPr>
                  <w:rPr>
                    <w:rFonts w:ascii="Cambria Math" w:hAnsi="Cambria Math"/>
                    <w:i/>
                  </w:rPr>
                </m:ctrlPr>
              </m:sSubPr>
              <m:e>
                <m:r>
                  <m:rPr>
                    <m:sty m:val="p"/>
                  </m:rPr>
                  <w:rPr>
                    <w:rFonts w:ascii="Cambria Math" w:hAnsi="Cambria Math"/>
                  </w:rPr>
                  <m:t>Φ</m:t>
                </m:r>
              </m:e>
              <m:sub>
                <m:r>
                  <w:rPr>
                    <w:rFonts w:ascii="Cambria Math" w:hAnsi="Cambria Math"/>
                  </w:rPr>
                  <m:t>E,h</m:t>
                </m:r>
              </m:sub>
            </m:sSub>
            <m:r>
              <m:rPr>
                <m:sty m:val="p"/>
              </m:rPr>
              <w:rPr>
                <w:rFonts w:ascii="Cambria Math" w:hAnsi="Cambria Math"/>
              </w:rPr>
              <m:t>}</m:t>
            </m:r>
          </m:e>
          <m:sub>
            <m:r>
              <w:rPr>
                <w:rFonts w:ascii="Cambria Math" w:hAnsi="Cambria Math"/>
              </w:rPr>
              <m:t>h</m:t>
            </m:r>
            <m:r>
              <m:rPr>
                <m:sty m:val="p"/>
              </m:rPr>
              <w:rPr>
                <w:rFonts w:ascii="Cambria Math" w:hAnsi="Cambria Math"/>
              </w:rPr>
              <m:t>=0</m:t>
            </m:r>
          </m:sub>
          <m:sup>
            <m:r>
              <w:rPr>
                <w:rFonts w:ascii="Cambria Math" w:hAnsi="Cambria Math"/>
              </w:rPr>
              <m:t>H</m:t>
            </m:r>
          </m:sup>
        </m:sSubSup>
      </m:oMath>
      <w:r>
        <w:t xml:space="preserve"> for expansions and </w:t>
      </w:r>
      <m:oMath>
        <m:sSubSup>
          <m:sSubSupPr>
            <m:ctrlPr>
              <w:rPr>
                <w:rFonts w:ascii="Cambria Math" w:hAnsi="Cambria Math"/>
              </w:rPr>
            </m:ctrlPr>
          </m:sSubSupPr>
          <m:e>
            <m:r>
              <m:rPr>
                <m:sty m:val="p"/>
              </m:rPr>
              <w:rPr>
                <w:rFonts w:ascii="Cambria Math" w:hAnsi="Cambria Math"/>
              </w:rPr>
              <m:t>{</m:t>
            </m:r>
            <m:sSub>
              <m:sSubPr>
                <m:ctrlPr>
                  <w:rPr>
                    <w:rFonts w:ascii="Cambria Math" w:hAnsi="Cambria Math"/>
                    <w:i/>
                  </w:rPr>
                </m:ctrlPr>
              </m:sSubPr>
              <m:e>
                <m:r>
                  <m:rPr>
                    <m:sty m:val="p"/>
                  </m:rPr>
                  <w:rPr>
                    <w:rFonts w:ascii="Cambria Math" w:hAnsi="Cambria Math"/>
                  </w:rPr>
                  <m:t>Φ</m:t>
                </m:r>
              </m:e>
              <m:sub>
                <m:r>
                  <w:rPr>
                    <w:rFonts w:ascii="Cambria Math" w:hAnsi="Cambria Math"/>
                  </w:rPr>
                  <m:t>R,h</m:t>
                </m:r>
              </m:sub>
            </m:sSub>
            <m:r>
              <m:rPr>
                <m:sty m:val="p"/>
              </m:rPr>
              <w:rPr>
                <w:rFonts w:ascii="Cambria Math" w:hAnsi="Cambria Math"/>
              </w:rPr>
              <m:t>}</m:t>
            </m:r>
          </m:e>
          <m:sub>
            <m:r>
              <w:rPr>
                <w:rFonts w:ascii="Cambria Math" w:hAnsi="Cambria Math"/>
              </w:rPr>
              <m:t>h</m:t>
            </m:r>
            <m:r>
              <m:rPr>
                <m:sty m:val="p"/>
              </m:rPr>
              <w:rPr>
                <w:rFonts w:ascii="Cambria Math" w:hAnsi="Cambria Math"/>
              </w:rPr>
              <m:t>=0</m:t>
            </m:r>
          </m:sub>
          <m:sup>
            <m:r>
              <w:rPr>
                <w:rFonts w:ascii="Cambria Math" w:hAnsi="Cambria Math"/>
              </w:rPr>
              <m:t>H</m:t>
            </m:r>
          </m:sup>
        </m:sSubSup>
      </m:oMath>
      <w:r>
        <w:t xml:space="preserve"> for recessions.  </w:t>
      </w:r>
    </w:p>
    <w:p w:rsidR="00916E22" w:rsidRDefault="00916E22" w:rsidP="00916E22">
      <w:pPr>
        <w:spacing w:line="480" w:lineRule="auto"/>
        <w:ind w:firstLine="720"/>
      </w:pPr>
      <w:r>
        <w:t xml:space="preserve">This estimation method has several advantages over our earlier approach.  First, it involves only linear estimation, if one fixes (as we have throughout our work) the parameter </w:t>
      </w:r>
      <m:oMath>
        <m:r>
          <w:rPr>
            <w:rFonts w:ascii="Cambria Math" w:hAnsi="Cambria Math"/>
          </w:rPr>
          <m:t>γ</m:t>
        </m:r>
      </m:oMath>
      <w:r>
        <w:t xml:space="preserve"> in expression (4).  Second, it obviates the need to </w:t>
      </w:r>
      <w:r w:rsidR="00174E55">
        <w:t xml:space="preserve">estimate </w:t>
      </w:r>
      <w:r>
        <w:t xml:space="preserve">the equations for dependent variables other than GDP and thus we can significantly economize on the number of estimated parameters.  Third, it does not constrain the shape of the IRF, rather than imposing the pattern generated by the SVAR.  (Under the maintained assumption that the SVAR is correctly specified, the patterns </w:t>
      </w:r>
      <w:r>
        <w:lastRenderedPageBreak/>
        <w:t>should be the same.) Fourth, the error term in equation (1’) is likely to be correlated across countries. This correlation would be particularly hard</w:t>
      </w:r>
      <w:r w:rsidR="00DD6CBA">
        <w:t xml:space="preserve"> to handle in the context of nonlinear STVARs but is easy to address in linear estimation by using e.g. Driscoll and </w:t>
      </w:r>
      <w:proofErr w:type="spellStart"/>
      <w:r w:rsidR="00DD6CBA">
        <w:t>Kraay</w:t>
      </w:r>
      <w:proofErr w:type="spellEnd"/>
      <w:r w:rsidR="00DD6CBA">
        <w:t xml:space="preserve"> (1998) standard errors. </w:t>
      </w:r>
      <w:r w:rsidR="000039F3">
        <w:t>Fifth</w:t>
      </w:r>
      <w:r w:rsidR="00A75B68">
        <w:t xml:space="preserve">, we can </w:t>
      </w:r>
      <w:r w:rsidR="00806352">
        <w:t xml:space="preserve">use </w:t>
      </w:r>
      <w:r w:rsidR="00A75B68">
        <w:t xml:space="preserve">specification (1’) to construct impulse responses for any macroeconomic variable of interest as we are not constrained by </w:t>
      </w:r>
      <w:r w:rsidR="00FB302D">
        <w:t xml:space="preserve">the </w:t>
      </w:r>
      <w:r w:rsidR="00A75B68">
        <w:t xml:space="preserve">VAR’s curse of dimensionality.  </w:t>
      </w:r>
      <w:r w:rsidR="000039F3">
        <w:t xml:space="preserve">Finally, the impulse response embodies the average transitions of the economy from one state to another. In other words, we do not have to model how z changes over time. </w:t>
      </w:r>
    </w:p>
    <w:p w:rsidR="00916E22" w:rsidRDefault="00806352" w:rsidP="00916E22">
      <w:pPr>
        <w:spacing w:line="480" w:lineRule="auto"/>
        <w:ind w:firstLine="720"/>
        <w:rPr>
          <w:rFonts w:eastAsiaTheme="minorEastAsia"/>
        </w:rPr>
      </w:pPr>
      <w:r>
        <w:t>Similar to</w:t>
      </w:r>
      <w:r w:rsidR="00916E22">
        <w:t xml:space="preserve"> our earlier </w:t>
      </w:r>
      <w:r w:rsidR="00916E22">
        <w:rPr>
          <w:rFonts w:eastAsiaTheme="minorEastAsia"/>
        </w:rPr>
        <w:t xml:space="preserve">paper, </w:t>
      </w:r>
      <m:oMath>
        <m:sSub>
          <m:sSubPr>
            <m:ctrlPr>
              <w:rPr>
                <w:rFonts w:ascii="Cambria Math" w:hAnsi="Cambria Math"/>
                <w:i/>
              </w:rPr>
            </m:ctrlPr>
          </m:sSubPr>
          <m:e>
            <m:r>
              <w:rPr>
                <w:rFonts w:ascii="Cambria Math" w:hAnsi="Cambria Math"/>
              </w:rPr>
              <m:t>z</m:t>
            </m:r>
          </m:e>
          <m:sub>
            <m:r>
              <w:rPr>
                <w:rFonts w:ascii="Cambria Math" w:hAnsi="Cambria Math"/>
              </w:rPr>
              <m:t>it</m:t>
            </m:r>
          </m:sub>
        </m:sSub>
      </m:oMath>
      <w:r w:rsidR="00916E22">
        <w:rPr>
          <w:rFonts w:eastAsiaTheme="minorEastAsia"/>
        </w:rPr>
        <w:t xml:space="preserve"> is based on the (standardized) deviation of </w:t>
      </w:r>
      <w:r w:rsidR="00FB302D">
        <w:rPr>
          <w:rFonts w:eastAsiaTheme="minorEastAsia"/>
        </w:rPr>
        <w:t xml:space="preserve">the </w:t>
      </w:r>
      <w:r w:rsidR="00916E22">
        <w:rPr>
          <w:rFonts w:eastAsiaTheme="minorEastAsia"/>
        </w:rPr>
        <w:t xml:space="preserve">output growth rate </w:t>
      </w:r>
      <w:r w:rsidR="00DC5284">
        <w:rPr>
          <w:rFonts w:eastAsiaTheme="minorEastAsia"/>
        </w:rPr>
        <w:t xml:space="preserve">(moving average over 1.5 years) </w:t>
      </w:r>
      <w:r w:rsidR="00916E22">
        <w:rPr>
          <w:rFonts w:eastAsiaTheme="minorEastAsia"/>
        </w:rPr>
        <w:t>from the trend. However, in contrast to the earlier paper, we allow the trend to be time</w:t>
      </w:r>
      <w:r w:rsidR="00FB302D">
        <w:rPr>
          <w:rFonts w:eastAsiaTheme="minorEastAsia"/>
        </w:rPr>
        <w:t>-</w:t>
      </w:r>
      <w:r w:rsidR="00916E22">
        <w:rPr>
          <w:rFonts w:eastAsiaTheme="minorEastAsia"/>
        </w:rPr>
        <w:t xml:space="preserve">varying because several counties exhibit low frequency variations in the growth rates of output. Specifically, </w:t>
      </w:r>
      <w:r w:rsidR="00FB302D">
        <w:rPr>
          <w:rFonts w:eastAsiaTheme="minorEastAsia"/>
        </w:rPr>
        <w:t xml:space="preserve">we extract </w:t>
      </w:r>
      <w:r w:rsidR="00916E22">
        <w:rPr>
          <w:rFonts w:eastAsiaTheme="minorEastAsia"/>
        </w:rPr>
        <w:t xml:space="preserve">the trend using the Hodrick-Prescott filter with a very high smoothing parameter </w:t>
      </w:r>
      <m:oMath>
        <m:r>
          <w:rPr>
            <w:rFonts w:ascii="Cambria Math" w:eastAsiaTheme="minorEastAsia" w:hAnsi="Cambria Math"/>
          </w:rPr>
          <m:t>λ=1,000,000</m:t>
        </m:r>
      </m:oMath>
      <w:r w:rsidR="00916E22">
        <w:rPr>
          <w:rFonts w:eastAsiaTheme="minorEastAsia"/>
        </w:rPr>
        <w:t xml:space="preserve"> so that the trend is very smooth.  Because identification of the curvature in the transition function </w:t>
      </w:r>
      <w:proofErr w:type="gramStart"/>
      <w:r w:rsidR="00315846" w:rsidRPr="00D51C20">
        <w:rPr>
          <w:rFonts w:eastAsiaTheme="minorEastAsia"/>
          <w:i/>
        </w:rPr>
        <w:t>F</w:t>
      </w:r>
      <w:r w:rsidR="00FB302D">
        <w:rPr>
          <w:rFonts w:eastAsiaTheme="minorEastAsia"/>
        </w:rPr>
        <w:t>(</w:t>
      </w:r>
      <w:proofErr w:type="gramEnd"/>
      <w:r w:rsidR="00FB302D">
        <w:rPr>
          <w:rFonts w:eastAsiaTheme="minorEastAsia"/>
        </w:rPr>
        <w:sym w:font="Symbol" w:char="F0D7"/>
      </w:r>
      <w:r w:rsidR="00FB302D">
        <w:rPr>
          <w:rFonts w:eastAsiaTheme="minorEastAsia"/>
        </w:rPr>
        <w:t xml:space="preserve">) </w:t>
      </w:r>
      <w:r w:rsidR="00916E22" w:rsidRPr="00FB302D">
        <w:rPr>
          <w:rFonts w:eastAsiaTheme="minorEastAsia"/>
        </w:rPr>
        <w:t>is</w:t>
      </w:r>
      <w:r w:rsidR="00916E22">
        <w:rPr>
          <w:rFonts w:eastAsiaTheme="minorEastAsia"/>
        </w:rPr>
        <w:t xml:space="preserve"> based on highly nonlinear moments and thus is potentially sensitive to a handful of unusual observations, we follow our earlier approach and calibrate </w:t>
      </w:r>
      <m:oMath>
        <m:r>
          <w:rPr>
            <w:rFonts w:ascii="Cambria Math" w:hAnsi="Cambria Math"/>
          </w:rPr>
          <m:t>γ=1.5</m:t>
        </m:r>
      </m:oMath>
      <w:r w:rsidR="00916E22">
        <w:rPr>
          <w:rFonts w:eastAsiaTheme="minorEastAsia"/>
        </w:rPr>
        <w:t xml:space="preserve"> so that a typical economy spends about 20 percent of the time in a recessionary regime, which is consistent the fraction of recessionary periods in the U</w:t>
      </w:r>
      <w:r w:rsidR="00AD337D">
        <w:rPr>
          <w:rFonts w:eastAsiaTheme="minorEastAsia"/>
        </w:rPr>
        <w:t xml:space="preserve">nited </w:t>
      </w:r>
      <w:r w:rsidR="00916E22">
        <w:rPr>
          <w:rFonts w:eastAsiaTheme="minorEastAsia"/>
        </w:rPr>
        <w:t>S</w:t>
      </w:r>
      <w:r w:rsidR="00AD337D">
        <w:rPr>
          <w:rFonts w:eastAsiaTheme="minorEastAsia"/>
        </w:rPr>
        <w:t>tates</w:t>
      </w:r>
      <w:r w:rsidR="00916E22">
        <w:rPr>
          <w:rFonts w:eastAsiaTheme="minorEastAsia"/>
        </w:rPr>
        <w:t xml:space="preserve">. </w:t>
      </w:r>
    </w:p>
    <w:p w:rsidR="00916E22" w:rsidRDefault="00916E22" w:rsidP="00DD5F57">
      <w:pPr>
        <w:pStyle w:val="Heading1"/>
      </w:pPr>
      <w:r w:rsidRPr="00DD5F57">
        <w:t>Data</w:t>
      </w:r>
    </w:p>
    <w:p w:rsidR="00DD6CBA" w:rsidRDefault="00DD6CBA" w:rsidP="002A39E0">
      <w:pPr>
        <w:spacing w:line="480" w:lineRule="auto"/>
      </w:pPr>
      <w:r>
        <w:t xml:space="preserve">The macroeconomic series we use in our analyses come from the OECD’s Statistics and Projections database. There are several benefits </w:t>
      </w:r>
      <w:r w:rsidR="00CC45FA">
        <w:t>of</w:t>
      </w:r>
      <w:r>
        <w:t xml:space="preserve"> using these data. First, macroeconomic series </w:t>
      </w:r>
      <w:r w:rsidR="00F1066F">
        <w:t xml:space="preserve">and forecasts for these series </w:t>
      </w:r>
      <w:r>
        <w:t>are prepared using a unified methodology so that series are comparable across countries. Second, OECD prepares semiannual forecasts for key macroeconomic variables such as GDP and government spending in June and December of each year.</w:t>
      </w:r>
      <w:r w:rsidR="00FF7015">
        <w:t xml:space="preserve"> OECD’s forecasts are available for a broad array of variable</w:t>
      </w:r>
      <w:r w:rsidR="00CC45FA">
        <w:t>s</w:t>
      </w:r>
      <w:r w:rsidR="00FF7015">
        <w:t xml:space="preserve">. </w:t>
      </w:r>
      <w:r>
        <w:t xml:space="preserve"> </w:t>
      </w:r>
      <w:r w:rsidR="00FF7015">
        <w:t>Third</w:t>
      </w:r>
      <w:r>
        <w:t xml:space="preserve">, these forecasts have </w:t>
      </w:r>
      <w:r w:rsidR="00872107">
        <w:lastRenderedPageBreak/>
        <w:t>“</w:t>
      </w:r>
      <w:r>
        <w:t>reality checks</w:t>
      </w:r>
      <w:r w:rsidR="00872107">
        <w:t>”</w:t>
      </w:r>
      <w:r>
        <w:t xml:space="preserve"> as the OECD </w:t>
      </w:r>
      <w:r w:rsidR="008C4FC6">
        <w:t xml:space="preserve">exploits its local presence in the member countries and holds </w:t>
      </w:r>
      <w:r>
        <w:t xml:space="preserve">extensive discussions on the projections and related analyses with </w:t>
      </w:r>
      <w:r w:rsidR="008C4FC6">
        <w:t>local</w:t>
      </w:r>
      <w:r>
        <w:t xml:space="preserve"> government experts and policy makers. </w:t>
      </w:r>
      <w:r w:rsidR="008C4FC6">
        <w:t xml:space="preserve">Thus, </w:t>
      </w:r>
      <w:r w:rsidR="00CC45FA">
        <w:t xml:space="preserve">the </w:t>
      </w:r>
      <w:r w:rsidR="008C4FC6">
        <w:t xml:space="preserve">OECD’s forecasts incorporate a great deal of local knowledge and information about future policy changes. </w:t>
      </w:r>
      <w:r w:rsidR="00FF7015">
        <w:t>Fourth</w:t>
      </w:r>
      <w:r w:rsidR="002A39E0">
        <w:t>,</w:t>
      </w:r>
      <w:r w:rsidR="00F1066F">
        <w:t xml:space="preserve"> i</w:t>
      </w:r>
      <w:r w:rsidR="00973594">
        <w:t xml:space="preserve">n a recent assessment of OECD’s forecasts, Vogel (2007) and </w:t>
      </w:r>
      <w:proofErr w:type="spellStart"/>
      <w:r w:rsidR="00973594" w:rsidRPr="00973594">
        <w:rPr>
          <w:rFonts w:eastAsiaTheme="minorHAnsi"/>
          <w:sz w:val="23"/>
          <w:szCs w:val="23"/>
        </w:rPr>
        <w:t>Lenain</w:t>
      </w:r>
      <w:proofErr w:type="spellEnd"/>
      <w:r w:rsidR="00973594">
        <w:t xml:space="preserve"> (2002) report that these forecasts have a number of desirable properties and perform at par with the forecasts prepared by the private sector. </w:t>
      </w:r>
      <w:r w:rsidR="00F1066F">
        <w:t>More information on these forecasts is available at the OECD’s website.</w:t>
      </w:r>
      <w:r w:rsidR="00F1066F">
        <w:rPr>
          <w:rStyle w:val="FootnoteReference"/>
        </w:rPr>
        <w:footnoteReference w:id="2"/>
      </w:r>
      <w:r w:rsidR="00F1066F">
        <w:t xml:space="preserve"> </w:t>
      </w:r>
    </w:p>
    <w:p w:rsidR="002A39E0" w:rsidRDefault="002A39E0" w:rsidP="00DD6CBA">
      <w:pPr>
        <w:spacing w:line="480" w:lineRule="auto"/>
        <w:ind w:firstLine="720"/>
      </w:pPr>
      <w:r>
        <w:t xml:space="preserve">OECD’s forecasts are consistently available since 1985 for </w:t>
      </w:r>
      <w:r w:rsidR="00872107">
        <w:t>“</w:t>
      </w:r>
      <w:r>
        <w:t>old</w:t>
      </w:r>
      <w:r w:rsidR="00872107">
        <w:t>”</w:t>
      </w:r>
      <w:r>
        <w:t xml:space="preserve"> members of the OECD (e.g., </w:t>
      </w:r>
      <w:r w:rsidR="00CC45FA">
        <w:t>the United States</w:t>
      </w:r>
      <w:r>
        <w:t>) and since</w:t>
      </w:r>
      <w:r w:rsidR="00CC45FA">
        <w:t xml:space="preserve"> the</w:t>
      </w:r>
      <w:r>
        <w:t xml:space="preserve"> mid</w:t>
      </w:r>
      <w:r w:rsidR="00CC45FA">
        <w:t>-</w:t>
      </w:r>
      <w:r>
        <w:t>1990s for new</w:t>
      </w:r>
      <w:r w:rsidR="00CC45FA">
        <w:t>er</w:t>
      </w:r>
      <w:r>
        <w:t xml:space="preserve"> members (e.g., Poland). The downside of using OECD projections is that, for most of the available sample, they are available </w:t>
      </w:r>
      <w:r w:rsidR="00CC45FA">
        <w:t xml:space="preserve">only </w:t>
      </w:r>
      <w:r>
        <w:t>at the semiannual frequency rather tha</w:t>
      </w:r>
      <w:r w:rsidR="00CC45FA">
        <w:t>n the</w:t>
      </w:r>
      <w:r>
        <w:t xml:space="preserve"> more commonly used quarterly frequency. </w:t>
      </w:r>
    </w:p>
    <w:p w:rsidR="00D5793F" w:rsidRDefault="00DC5284" w:rsidP="00DD6CBA">
      <w:pPr>
        <w:spacing w:line="480" w:lineRule="auto"/>
        <w:ind w:firstLine="720"/>
      </w:pPr>
      <w:r w:rsidRPr="00DC5284">
        <w:t xml:space="preserve">Consistent with OECD definitions and </w:t>
      </w:r>
      <w:r w:rsidR="00DA68EA">
        <w:t xml:space="preserve">the </w:t>
      </w:r>
      <w:r w:rsidRPr="00DC5284">
        <w:t>previous literature o</w:t>
      </w:r>
      <w:r w:rsidR="00486F5B">
        <w:t>n</w:t>
      </w:r>
      <w:r w:rsidRPr="00DC5284">
        <w:t xml:space="preserve"> fiscal multipliers, our government spending series </w:t>
      </w:r>
      <w:r w:rsidR="00486F5B">
        <w:t>is the sum of</w:t>
      </w:r>
      <w:r w:rsidRPr="00DC5284">
        <w:t xml:space="preserve"> </w:t>
      </w:r>
      <w:r>
        <w:t xml:space="preserve">real </w:t>
      </w:r>
      <w:r w:rsidRPr="00DC5284">
        <w:t xml:space="preserve">public consumption expenditure and </w:t>
      </w:r>
      <w:r>
        <w:t xml:space="preserve">real </w:t>
      </w:r>
      <w:r w:rsidRPr="00DC5284">
        <w:t>government gross capital formation.</w:t>
      </w:r>
      <w:r w:rsidR="00DA68EA">
        <w:t xml:space="preserve">  That is, it does not include imputed rent on the government capital stock, as is now the convention in the U.S. national income accounts.</w:t>
      </w:r>
      <w:r w:rsidRPr="00DC5284">
        <w:t xml:space="preserve"> </w:t>
      </w:r>
      <w:r w:rsidR="00110D2E">
        <w:t>In addition to the standard real GDP series, we will examine responses of other key macroeconomic variables to government spending shocks. First, we document responses of other component</w:t>
      </w:r>
      <w:r w:rsidR="007D1741">
        <w:t>s</w:t>
      </w:r>
      <w:r w:rsidR="00110D2E">
        <w:t xml:space="preserve"> of GDP: real private consumption, real private gross capital formation, real exports and imports. Second, we investigate the behavior of the variables describing the labor market: total employment in the economy, employment in the private sector, </w:t>
      </w:r>
      <w:r w:rsidR="007D1741">
        <w:t xml:space="preserve">the </w:t>
      </w:r>
      <w:r w:rsidR="00110D2E">
        <w:t xml:space="preserve">unemployment rate, and </w:t>
      </w:r>
      <w:r w:rsidR="007D1741">
        <w:t xml:space="preserve">the </w:t>
      </w:r>
      <w:r w:rsidR="00110D2E">
        <w:t>real compensation rate in the private sector. Th</w:t>
      </w:r>
      <w:r w:rsidR="007D1741">
        <w:t>is</w:t>
      </w:r>
      <w:r w:rsidR="00110D2E">
        <w:t xml:space="preserve"> la</w:t>
      </w:r>
      <w:r w:rsidR="007D1741">
        <w:t>s</w:t>
      </w:r>
      <w:r w:rsidR="00110D2E">
        <w:t xml:space="preserve">t series is our measure of real wages. </w:t>
      </w:r>
      <w:r w:rsidR="006C05F2">
        <w:t>Finally</w:t>
      </w:r>
      <w:r w:rsidR="00110D2E">
        <w:t>, we explore how prices</w:t>
      </w:r>
      <w:r w:rsidR="00BC5C09">
        <w:t>,</w:t>
      </w:r>
      <w:r w:rsidR="00110D2E">
        <w:t xml:space="preserve"> measured by </w:t>
      </w:r>
      <w:r w:rsidR="00BC5C09">
        <w:t xml:space="preserve">the </w:t>
      </w:r>
      <w:r w:rsidR="00110D2E">
        <w:t xml:space="preserve">consumer price index (CPI) and </w:t>
      </w:r>
      <w:r w:rsidR="00BC5C09">
        <w:t xml:space="preserve">the </w:t>
      </w:r>
      <w:r w:rsidR="00110D2E">
        <w:t xml:space="preserve">GDP </w:t>
      </w:r>
      <w:proofErr w:type="gramStart"/>
      <w:r w:rsidR="00110D2E">
        <w:t>deflator</w:t>
      </w:r>
      <w:r w:rsidR="00BC5C09">
        <w:t>,</w:t>
      </w:r>
      <w:proofErr w:type="gramEnd"/>
      <w:r w:rsidR="00110D2E">
        <w:t xml:space="preserve"> respond to </w:t>
      </w:r>
      <w:r w:rsidR="00110D2E">
        <w:lastRenderedPageBreak/>
        <w:t xml:space="preserve">government spending shocks. </w:t>
      </w:r>
      <w:r w:rsidR="002A5BCE">
        <w:t xml:space="preserve">All variables except </w:t>
      </w:r>
      <w:r w:rsidR="00BC5C09">
        <w:t xml:space="preserve">the </w:t>
      </w:r>
      <w:r w:rsidR="002A5BCE">
        <w:t xml:space="preserve">unemployment rate enter specification (1’) in logs. </w:t>
      </w:r>
    </w:p>
    <w:p w:rsidR="00916E22" w:rsidRDefault="00916E22" w:rsidP="00DD5F57">
      <w:pPr>
        <w:pStyle w:val="Heading1"/>
      </w:pPr>
      <w:r>
        <w:t>Results</w:t>
      </w:r>
    </w:p>
    <w:p w:rsidR="00DD5F57" w:rsidRDefault="00DD5F57" w:rsidP="00DD5F57">
      <w:pPr>
        <w:pStyle w:val="Heading2"/>
      </w:pPr>
      <w:r>
        <w:t>Impulse responses in a VAR and direct projections method</w:t>
      </w:r>
    </w:p>
    <w:p w:rsidR="00D5793F" w:rsidRDefault="00D5793F" w:rsidP="00DD5F57">
      <w:pPr>
        <w:spacing w:line="480" w:lineRule="auto"/>
      </w:pPr>
      <w:r>
        <w:t xml:space="preserve">As a first pass </w:t>
      </w:r>
      <w:r w:rsidR="00176CF8">
        <w:t>through</w:t>
      </w:r>
      <w:r>
        <w:t xml:space="preserve"> the data, we examine how our approach of direct projections compares with the more conventional approach of using VARs to construct impulse responses. </w:t>
      </w:r>
      <w:r w:rsidR="0062653A">
        <w:fldChar w:fldCharType="begin"/>
      </w:r>
      <w:r w:rsidR="00665F39">
        <w:instrText xml:space="preserve"> REF _Ref289772537 \h </w:instrText>
      </w:r>
      <w:r w:rsidR="0062653A">
        <w:fldChar w:fldCharType="separate"/>
      </w:r>
      <w:r w:rsidR="00E724CE" w:rsidRPr="008A4874">
        <w:t xml:space="preserve">Figure </w:t>
      </w:r>
      <w:r w:rsidR="00E724CE">
        <w:rPr>
          <w:noProof/>
        </w:rPr>
        <w:t>1</w:t>
      </w:r>
      <w:r w:rsidR="0062653A">
        <w:fldChar w:fldCharType="end"/>
      </w:r>
      <w:r w:rsidR="00665F39">
        <w:t xml:space="preserve"> </w:t>
      </w:r>
      <w:r>
        <w:t>contrasts the impulse response of output to a one-percent increase in government spending in a linear bivariate VAR—which includes real GDP and real government spending as endogenous variable and country fixed effects with slopes assumed to be the same across countries—with the impulse response of output to the same shock in government spending in the specification given by (1’)</w:t>
      </w:r>
      <w:r w:rsidR="001C4B08">
        <w:t>, but</w:t>
      </w:r>
      <w:r>
        <w:t xml:space="preserve"> restricted to have the same responses and dynamics in recessions and expansions (i.e., </w:t>
      </w:r>
      <m:oMath>
        <m:sSub>
          <m:sSubPr>
            <m:ctrlPr>
              <w:rPr>
                <w:rFonts w:ascii="Cambria Math" w:hAnsi="Cambria Math"/>
                <w:i/>
              </w:rPr>
            </m:ctrlPr>
          </m:sSubPr>
          <m:e>
            <m:r>
              <w:rPr>
                <w:rFonts w:ascii="Cambria Math" w:hAnsi="Cambria Math"/>
              </w:rPr>
              <m:t>Π</m:t>
            </m:r>
          </m:e>
          <m:sub>
            <m:r>
              <w:rPr>
                <w:rFonts w:ascii="Cambria Math" w:hAnsi="Cambria Math"/>
              </w:rPr>
              <m:t>R,h</m:t>
            </m:r>
          </m:sub>
        </m:sSub>
        <m:d>
          <m:dPr>
            <m:ctrlPr>
              <w:rPr>
                <w:rFonts w:ascii="Cambria Math" w:hAnsi="Cambria Math"/>
                <w:i/>
              </w:rPr>
            </m:ctrlPr>
          </m:dPr>
          <m:e>
            <m:r>
              <w:rPr>
                <w:rFonts w:ascii="Cambria Math" w:hAnsi="Cambria Math"/>
              </w:rPr>
              <m:t>L</m:t>
            </m:r>
          </m:e>
        </m:d>
        <m:r>
          <w:rPr>
            <w:rFonts w:ascii="Cambria Math" w:hAnsi="Cambria Math"/>
          </w:rPr>
          <m:t>=</m:t>
        </m:r>
        <m:sSub>
          <m:sSubPr>
            <m:ctrlPr>
              <w:rPr>
                <w:rFonts w:ascii="Cambria Math" w:hAnsi="Cambria Math"/>
                <w:i/>
              </w:rPr>
            </m:ctrlPr>
          </m:sSubPr>
          <m:e>
            <m:r>
              <m:rPr>
                <m:sty m:val="p"/>
              </m:rPr>
              <w:rPr>
                <w:rFonts w:ascii="Cambria Math" w:hAnsi="Cambria Math"/>
              </w:rPr>
              <m:t>Ψ</m:t>
            </m:r>
          </m:e>
          <m:sub>
            <m:r>
              <w:rPr>
                <w:rFonts w:ascii="Cambria Math" w:hAnsi="Cambria Math"/>
              </w:rPr>
              <m:t>R,h</m:t>
            </m:r>
          </m:sub>
        </m:sSub>
        <m:d>
          <m:dPr>
            <m:ctrlPr>
              <w:rPr>
                <w:rFonts w:ascii="Cambria Math" w:hAnsi="Cambria Math"/>
                <w:i/>
              </w:rPr>
            </m:ctrlPr>
          </m:dPr>
          <m:e>
            <m:r>
              <w:rPr>
                <w:rFonts w:ascii="Cambria Math" w:hAnsi="Cambria Math"/>
              </w:rPr>
              <m:t>L</m:t>
            </m:r>
          </m:e>
        </m:d>
        <m:r>
          <w:rPr>
            <w:rFonts w:ascii="Cambria Math" w:hAnsi="Cambria Math"/>
          </w:rPr>
          <m:t>,</m:t>
        </m:r>
        <m:sSub>
          <m:sSubPr>
            <m:ctrlPr>
              <w:rPr>
                <w:rFonts w:ascii="Cambria Math" w:hAnsi="Cambria Math"/>
                <w:i/>
              </w:rPr>
            </m:ctrlPr>
          </m:sSubPr>
          <m:e>
            <m:r>
              <w:rPr>
                <w:rFonts w:ascii="Cambria Math" w:hAnsi="Cambria Math"/>
              </w:rPr>
              <m:t>Π</m:t>
            </m:r>
          </m:e>
          <m:sub>
            <m:r>
              <w:rPr>
                <w:rFonts w:ascii="Cambria Math" w:hAnsi="Cambria Math"/>
              </w:rPr>
              <m:t>E,h</m:t>
            </m:r>
          </m:sub>
        </m:sSub>
        <m:d>
          <m:dPr>
            <m:ctrlPr>
              <w:rPr>
                <w:rFonts w:ascii="Cambria Math" w:hAnsi="Cambria Math"/>
                <w:i/>
              </w:rPr>
            </m:ctrlPr>
          </m:dPr>
          <m:e>
            <m:r>
              <w:rPr>
                <w:rFonts w:ascii="Cambria Math" w:hAnsi="Cambria Math"/>
              </w:rPr>
              <m:t>L</m:t>
            </m:r>
          </m:e>
        </m:d>
        <m:r>
          <w:rPr>
            <w:rFonts w:ascii="Cambria Math" w:hAnsi="Cambria Math"/>
          </w:rPr>
          <m:t>=</m:t>
        </m:r>
        <m:sSub>
          <m:sSubPr>
            <m:ctrlPr>
              <w:rPr>
                <w:rFonts w:ascii="Cambria Math" w:hAnsi="Cambria Math"/>
                <w:i/>
              </w:rPr>
            </m:ctrlPr>
          </m:sSubPr>
          <m:e>
            <m:r>
              <m:rPr>
                <m:sty m:val="p"/>
              </m:rPr>
              <w:rPr>
                <w:rFonts w:ascii="Cambria Math" w:hAnsi="Cambria Math"/>
              </w:rPr>
              <m:t>Ψ</m:t>
            </m:r>
          </m:e>
          <m:sub>
            <m:r>
              <w:rPr>
                <w:rFonts w:ascii="Cambria Math" w:hAnsi="Cambria Math"/>
              </w:rPr>
              <m:t>E,h</m:t>
            </m:r>
          </m:sub>
        </m:sSub>
        <m:d>
          <m:dPr>
            <m:ctrlPr>
              <w:rPr>
                <w:rFonts w:ascii="Cambria Math" w:hAnsi="Cambria Math"/>
                <w:i/>
              </w:rPr>
            </m:ctrlPr>
          </m:dPr>
          <m:e>
            <m:r>
              <w:rPr>
                <w:rFonts w:ascii="Cambria Math" w:hAnsi="Cambria Math"/>
              </w:rPr>
              <m:t>L</m:t>
            </m:r>
          </m:e>
        </m:d>
        <m:r>
          <w:rPr>
            <w:rFonts w:ascii="Cambria Math" w:hAnsi="Cambria Math"/>
          </w:rPr>
          <m:t xml:space="preserve">, </m:t>
        </m:r>
        <m:sSub>
          <m:sSubPr>
            <m:ctrlPr>
              <w:rPr>
                <w:rFonts w:ascii="Cambria Math" w:hAnsi="Cambria Math"/>
                <w:i/>
              </w:rPr>
            </m:ctrlPr>
          </m:sSubPr>
          <m:e>
            <m:r>
              <m:rPr>
                <m:sty m:val="p"/>
              </m:rPr>
              <w:rPr>
                <w:rFonts w:ascii="Cambria Math" w:hAnsi="Cambria Math"/>
              </w:rPr>
              <m:t>Φ</m:t>
            </m:r>
          </m:e>
          <m:sub>
            <m:r>
              <w:rPr>
                <w:rFonts w:ascii="Cambria Math" w:hAnsi="Cambria Math"/>
              </w:rPr>
              <m:t>E,h</m:t>
            </m:r>
          </m:sub>
        </m:sSub>
        <m:r>
          <w:rPr>
            <w:rFonts w:ascii="Cambria Math" w:hAnsi="Cambria Math"/>
          </w:rPr>
          <m:t>=</m:t>
        </m:r>
        <m:sSub>
          <m:sSubPr>
            <m:ctrlPr>
              <w:rPr>
                <w:rFonts w:ascii="Cambria Math" w:hAnsi="Cambria Math"/>
                <w:i/>
              </w:rPr>
            </m:ctrlPr>
          </m:sSubPr>
          <m:e>
            <m:r>
              <m:rPr>
                <m:sty m:val="p"/>
              </m:rPr>
              <w:rPr>
                <w:rFonts w:ascii="Cambria Math" w:hAnsi="Cambria Math"/>
              </w:rPr>
              <m:t>Φ</m:t>
            </m:r>
          </m:e>
          <m:sub>
            <m:r>
              <w:rPr>
                <w:rFonts w:ascii="Cambria Math" w:hAnsi="Cambria Math"/>
              </w:rPr>
              <m:t>R,h</m:t>
            </m:r>
          </m:sub>
        </m:sSub>
      </m:oMath>
      <w:r>
        <w:t xml:space="preserve"> for all </w:t>
      </w:r>
      <m:oMath>
        <m:r>
          <w:rPr>
            <w:rFonts w:ascii="Cambria Math" w:hAnsi="Cambria Math"/>
          </w:rPr>
          <m:t>L</m:t>
        </m:r>
      </m:oMath>
      <w:r>
        <w:t xml:space="preserve"> and </w:t>
      </w:r>
      <m:oMath>
        <m:r>
          <w:rPr>
            <w:rFonts w:ascii="Cambria Math" w:hAnsi="Cambria Math"/>
          </w:rPr>
          <m:t>h</m:t>
        </m:r>
      </m:oMath>
      <w:r>
        <w:t xml:space="preserve">). </w:t>
      </w:r>
      <w:r w:rsidR="00DD5F57">
        <w:t xml:space="preserve">Note that, since the linear VAR uses </w:t>
      </w:r>
      <w:proofErr w:type="gramStart"/>
      <w:r w:rsidR="001C4B08">
        <w:t xml:space="preserve">a </w:t>
      </w:r>
      <w:r w:rsidR="00DD5F57">
        <w:t>Cholesky</w:t>
      </w:r>
      <w:proofErr w:type="gramEnd"/>
      <w:r w:rsidR="00DD5F57">
        <w:t xml:space="preserve"> decomposition</w:t>
      </w:r>
      <w:r w:rsidR="008C217E">
        <w:t>, the contemporaneous responses have to be the same</w:t>
      </w:r>
      <w:r w:rsidR="00DD5F57">
        <w:t xml:space="preserve"> in these two approaches. However, even when we extend the horizons, the responses are remarkably similar across approaches</w:t>
      </w:r>
      <w:r w:rsidR="008C217E">
        <w:t xml:space="preserve"> </w:t>
      </w:r>
      <w:r w:rsidR="00DD5F57">
        <w:t xml:space="preserve">and thus </w:t>
      </w:r>
      <w:r w:rsidR="008C217E">
        <w:t>we</w:t>
      </w:r>
      <w:r w:rsidR="00DD5F57">
        <w:t xml:space="preserve"> can be more confident that our subsequent results are not driven by using an alternative approach to construct impulse responses. </w:t>
      </w:r>
    </w:p>
    <w:p w:rsidR="00DD5F57" w:rsidRDefault="00DD5F57" w:rsidP="00DD5F57">
      <w:pPr>
        <w:pStyle w:val="Heading2"/>
      </w:pPr>
      <w:r>
        <w:t>Predictability of VAR shocks</w:t>
      </w:r>
    </w:p>
    <w:p w:rsidR="00D717D3" w:rsidRDefault="00DD5F57" w:rsidP="00DD5F57">
      <w:pPr>
        <w:spacing w:line="480" w:lineRule="auto"/>
      </w:pPr>
      <w:r>
        <w:t xml:space="preserve">A key issue in the construction of fiscal multipliers is whether shocks to government spending are not forecastable. VARs try to ensure </w:t>
      </w:r>
      <w:proofErr w:type="spellStart"/>
      <w:r>
        <w:t>unforecastability</w:t>
      </w:r>
      <w:proofErr w:type="spellEnd"/>
      <w:r>
        <w:t xml:space="preserve"> of shocks by including sufficiently many lags of endogenous variables so that the error term is orthogonal to information contained in the past values of macroeconomic variables. However, as has been discusse</w:t>
      </w:r>
      <w:r w:rsidR="00C316B9">
        <w:t>d extensively in the literature</w:t>
      </w:r>
      <w:r w:rsidR="009D3750">
        <w:t xml:space="preserve"> (see e.g. Ramey 2011)</w:t>
      </w:r>
      <w:r w:rsidR="00C316B9">
        <w:t>,</w:t>
      </w:r>
      <w:r>
        <w:t xml:space="preserve"> many changes in fiscal variables are anticipated and lagged values </w:t>
      </w:r>
      <w:r w:rsidR="001C4B08">
        <w:t xml:space="preserve">of the few variables included in the VAR </w:t>
      </w:r>
      <w:r>
        <w:t xml:space="preserve">may fail to capture these anticipated future changes. </w:t>
      </w:r>
    </w:p>
    <w:p w:rsidR="00D717D3" w:rsidRDefault="00D717D3" w:rsidP="00D717D3">
      <w:pPr>
        <w:spacing w:line="480" w:lineRule="auto"/>
        <w:ind w:firstLine="720"/>
      </w:pPr>
      <w:r>
        <w:lastRenderedPageBreak/>
        <w:t>T</w:t>
      </w:r>
      <w:r w:rsidR="00DD5F57">
        <w:t xml:space="preserve">o assess to what extent VAR shocks are forecastable, we </w:t>
      </w:r>
      <w:r>
        <w:t xml:space="preserve">perform the following exercise. First, we project growth rates of government spending predicted by the OCED forecasts on the lags of endogenous variables in the VAR </w:t>
      </w:r>
      <w:r w:rsidR="009D3750">
        <w:t>to</w:t>
      </w:r>
      <w:r>
        <w:t xml:space="preserve"> remove the component of government spending growth that is predictable on the basis of information contained in the VAR. Second, we compute the error term in the government spending equation in the VAR with the same number of lags of endogenous variables. Third, we check the correlation between these two series (</w:t>
      </w:r>
      <w:r w:rsidR="0062653A">
        <w:fldChar w:fldCharType="begin"/>
      </w:r>
      <w:r>
        <w:instrText xml:space="preserve"> REF _Ref289777492 \h </w:instrText>
      </w:r>
      <w:r w:rsidR="0062653A">
        <w:fldChar w:fldCharType="separate"/>
      </w:r>
      <w:r w:rsidR="00E724CE" w:rsidRPr="008A4874">
        <w:t xml:space="preserve">Figure </w:t>
      </w:r>
      <w:r w:rsidR="00E724CE">
        <w:rPr>
          <w:noProof/>
        </w:rPr>
        <w:t>2</w:t>
      </w:r>
      <w:r w:rsidR="0062653A">
        <w:fldChar w:fldCharType="end"/>
      </w:r>
      <w:r>
        <w:t xml:space="preserve">) and we find that VAR shocks are predicted by professional forecasters to a significant degree: the correlation between </w:t>
      </w:r>
      <w:r w:rsidR="001C4B08">
        <w:t xml:space="preserve">the two </w:t>
      </w:r>
      <w:r>
        <w:t xml:space="preserve">series is 0.36. In other words, a considerable part of </w:t>
      </w:r>
      <w:r w:rsidR="001C4B08">
        <w:t xml:space="preserve">the </w:t>
      </w:r>
      <w:r>
        <w:t>VAR shocks to government spending is anticipated</w:t>
      </w:r>
      <w:r w:rsidR="001C4B08">
        <w:t xml:space="preserve"> by the forecasts.  </w:t>
      </w:r>
      <w:proofErr w:type="gramStart"/>
      <w:r w:rsidR="001C4B08">
        <w:t>This</w:t>
      </w:r>
      <w:r>
        <w:t xml:space="preserve"> can seriously bias estimates</w:t>
      </w:r>
      <w:proofErr w:type="gramEnd"/>
      <w:r>
        <w:t xml:space="preserve"> of impulse responses in the conventional VAR approach</w:t>
      </w:r>
      <w:r w:rsidR="001C4B08">
        <w:t>,</w:t>
      </w:r>
      <w:r>
        <w:t xml:space="preserve"> as the response to anticipated and una</w:t>
      </w:r>
      <w:r w:rsidR="00335EB9">
        <w:t>n</w:t>
      </w:r>
      <w:r>
        <w:t>ticipated shocks</w:t>
      </w:r>
      <w:r w:rsidR="001C4B08">
        <w:t>, in theory,</w:t>
      </w:r>
      <w:r>
        <w:t xml:space="preserve"> can be radically different. </w:t>
      </w:r>
    </w:p>
    <w:p w:rsidR="006E4151" w:rsidRDefault="00D717D3" w:rsidP="00481A9F">
      <w:pPr>
        <w:spacing w:line="480" w:lineRule="auto"/>
        <w:ind w:firstLine="720"/>
      </w:pPr>
      <w:r>
        <w:t xml:space="preserve">To minimize the contamination of government spending shocks with predictable changes, we </w:t>
      </w:r>
      <w:r w:rsidR="00335EB9">
        <w:t>will project</w:t>
      </w:r>
      <w:r>
        <w:t xml:space="preserve"> on forecast errors of professional forecasts (i.e., the OECD forecasts) for government spending</w:t>
      </w:r>
      <w:r w:rsidR="00335EB9">
        <w:t xml:space="preserve"> on the lags of output (or any other endogenous variable of interest, e.g., private consumption) and government spending</w:t>
      </w:r>
      <w:r w:rsidR="006E4151">
        <w:t xml:space="preserve"> and take the residual from this projection as a government spending shock</w:t>
      </w:r>
      <w:r w:rsidR="006C05F2">
        <w:t xml:space="preserve">, i.e., </w:t>
      </w:r>
      <m:oMath>
        <m:sSubSup>
          <m:sSubSupPr>
            <m:ctrlPr>
              <w:rPr>
                <w:rFonts w:ascii="Cambria Math" w:hAnsi="Cambria Math"/>
                <w:i/>
              </w:rPr>
            </m:ctrlPr>
          </m:sSubSupPr>
          <m:e>
            <m:r>
              <w:rPr>
                <w:rFonts w:ascii="Cambria Math" w:hAnsi="Cambria Math"/>
              </w:rPr>
              <m:t>FE</m:t>
            </m:r>
          </m:e>
          <m:sub>
            <m:r>
              <w:rPr>
                <w:rFonts w:ascii="Cambria Math" w:hAnsi="Cambria Math"/>
              </w:rPr>
              <m:t>it</m:t>
            </m:r>
          </m:sub>
          <m:sup>
            <m:r>
              <w:rPr>
                <w:rFonts w:ascii="Cambria Math" w:hAnsi="Cambria Math"/>
              </w:rPr>
              <m:t>G</m:t>
            </m:r>
          </m:sup>
        </m:sSubSup>
      </m:oMath>
      <w:r w:rsidR="006C05F2">
        <w:t xml:space="preserve"> in specification (1’)</w:t>
      </w:r>
      <w:r>
        <w:t xml:space="preserve">. </w:t>
      </w:r>
    </w:p>
    <w:p w:rsidR="006E4151" w:rsidRDefault="006E4151" w:rsidP="006E4151">
      <w:pPr>
        <w:pStyle w:val="Heading2"/>
      </w:pPr>
      <w:r>
        <w:t>State-dependent impulse response</w:t>
      </w:r>
      <w:r w:rsidR="00656546">
        <w:t>s</w:t>
      </w:r>
    </w:p>
    <w:p w:rsidR="00C20739" w:rsidRDefault="00C20739" w:rsidP="006E4151">
      <w:pPr>
        <w:spacing w:line="480" w:lineRule="auto"/>
      </w:pPr>
      <w:r>
        <w:t>Figure 3</w:t>
      </w:r>
      <w:r w:rsidR="006E4151">
        <w:t xml:space="preserve"> presents impulses responses of key macroeconomic variables to an unanticipated one percent increase in government spending</w:t>
      </w:r>
      <w:r>
        <w:t xml:space="preserve">. </w:t>
      </w:r>
      <w:r w:rsidR="006E4151">
        <w:t>Each panel in this figure has two subpanels showing responses (black, thick line) in a recessionary regime (</w:t>
      </w:r>
      <m:oMath>
        <m:r>
          <w:rPr>
            <w:rFonts w:ascii="Cambria Math" w:hAnsi="Cambria Math"/>
          </w:rPr>
          <m:t>z</m:t>
        </m:r>
      </m:oMath>
      <w:r w:rsidR="006E4151">
        <w:t xml:space="preserve"> has a large negative value, the response is given </w:t>
      </w:r>
      <w:proofErr w:type="gramStart"/>
      <w:r w:rsidR="006E4151">
        <w:t xml:space="preserve">by </w:t>
      </w:r>
      <m:oMath>
        <w:proofErr w:type="gramEnd"/>
        <m:sSubSup>
          <m:sSubSupPr>
            <m:ctrlPr>
              <w:rPr>
                <w:rFonts w:ascii="Cambria Math" w:hAnsi="Cambria Math"/>
              </w:rPr>
            </m:ctrlPr>
          </m:sSubSupPr>
          <m:e>
            <m:r>
              <m:rPr>
                <m:sty m:val="p"/>
              </m:rPr>
              <w:rPr>
                <w:rFonts w:ascii="Cambria Math" w:hAnsi="Cambria Math"/>
              </w:rPr>
              <m:t>{</m:t>
            </m:r>
            <m:sSub>
              <m:sSubPr>
                <m:ctrlPr>
                  <w:rPr>
                    <w:rFonts w:ascii="Cambria Math" w:hAnsi="Cambria Math"/>
                    <w:i/>
                  </w:rPr>
                </m:ctrlPr>
              </m:sSubPr>
              <m:e>
                <m:acc>
                  <m:accPr>
                    <m:ctrlPr>
                      <w:rPr>
                        <w:rFonts w:ascii="Cambria Math" w:hAnsi="Cambria Math"/>
                      </w:rPr>
                    </m:ctrlPr>
                  </m:accPr>
                  <m:e>
                    <m:r>
                      <m:rPr>
                        <m:sty m:val="p"/>
                      </m:rPr>
                      <w:rPr>
                        <w:rFonts w:ascii="Cambria Math" w:hAnsi="Cambria Math"/>
                      </w:rPr>
                      <m:t>Φ</m:t>
                    </m:r>
                  </m:e>
                </m:acc>
              </m:e>
              <m:sub>
                <m:r>
                  <w:rPr>
                    <w:rFonts w:ascii="Cambria Math" w:hAnsi="Cambria Math"/>
                  </w:rPr>
                  <m:t>R,h</m:t>
                </m:r>
              </m:sub>
            </m:sSub>
            <m:r>
              <m:rPr>
                <m:sty m:val="p"/>
              </m:rPr>
              <w:rPr>
                <w:rFonts w:ascii="Cambria Math" w:hAnsi="Cambria Math"/>
              </w:rPr>
              <m:t>}</m:t>
            </m:r>
          </m:e>
          <m:sub>
            <m:r>
              <w:rPr>
                <w:rFonts w:ascii="Cambria Math" w:hAnsi="Cambria Math"/>
              </w:rPr>
              <m:t>h</m:t>
            </m:r>
            <m:r>
              <m:rPr>
                <m:sty m:val="p"/>
              </m:rPr>
              <w:rPr>
                <w:rFonts w:ascii="Cambria Math" w:hAnsi="Cambria Math"/>
              </w:rPr>
              <m:t>=0</m:t>
            </m:r>
          </m:sub>
          <m:sup>
            <m:r>
              <w:rPr>
                <w:rFonts w:ascii="Cambria Math" w:hAnsi="Cambria Math"/>
              </w:rPr>
              <m:t>H</m:t>
            </m:r>
          </m:sup>
        </m:sSubSup>
      </m:oMath>
      <w:r w:rsidR="006E4151">
        <w:t>) and an expansionary regime (</w:t>
      </w:r>
      <m:oMath>
        <m:r>
          <w:rPr>
            <w:rFonts w:ascii="Cambria Math" w:hAnsi="Cambria Math"/>
          </w:rPr>
          <m:t>z</m:t>
        </m:r>
      </m:oMath>
      <w:r w:rsidR="006E4151">
        <w:t xml:space="preserve"> has a large </w:t>
      </w:r>
      <w:r w:rsidR="006C05F2">
        <w:t xml:space="preserve">positive </w:t>
      </w:r>
      <w:r w:rsidR="006E4151">
        <w:t xml:space="preserve">value, the response is given by </w:t>
      </w:r>
      <m:oMath>
        <m:sSubSup>
          <m:sSubSupPr>
            <m:ctrlPr>
              <w:rPr>
                <w:rFonts w:ascii="Cambria Math" w:hAnsi="Cambria Math"/>
              </w:rPr>
            </m:ctrlPr>
          </m:sSubSupPr>
          <m:e>
            <m:r>
              <m:rPr>
                <m:sty m:val="p"/>
              </m:rPr>
              <w:rPr>
                <w:rFonts w:ascii="Cambria Math" w:hAnsi="Cambria Math"/>
              </w:rPr>
              <m:t>{</m:t>
            </m:r>
            <m:sSub>
              <m:sSubPr>
                <m:ctrlPr>
                  <w:rPr>
                    <w:rFonts w:ascii="Cambria Math" w:hAnsi="Cambria Math"/>
                    <w:i/>
                  </w:rPr>
                </m:ctrlPr>
              </m:sSubPr>
              <m:e>
                <m:acc>
                  <m:accPr>
                    <m:ctrlPr>
                      <w:rPr>
                        <w:rFonts w:ascii="Cambria Math" w:hAnsi="Cambria Math"/>
                      </w:rPr>
                    </m:ctrlPr>
                  </m:accPr>
                  <m:e>
                    <m:r>
                      <m:rPr>
                        <m:sty m:val="p"/>
                      </m:rPr>
                      <w:rPr>
                        <w:rFonts w:ascii="Cambria Math" w:hAnsi="Cambria Math"/>
                      </w:rPr>
                      <m:t>Φ</m:t>
                    </m:r>
                  </m:e>
                </m:acc>
              </m:e>
              <m:sub>
                <m:r>
                  <w:rPr>
                    <w:rFonts w:ascii="Cambria Math" w:hAnsi="Cambria Math"/>
                  </w:rPr>
                  <m:t>E,h</m:t>
                </m:r>
              </m:sub>
            </m:sSub>
            <m:r>
              <m:rPr>
                <m:sty m:val="p"/>
              </m:rPr>
              <w:rPr>
                <w:rFonts w:ascii="Cambria Math" w:hAnsi="Cambria Math"/>
              </w:rPr>
              <m:t>}</m:t>
            </m:r>
          </m:e>
          <m:sub>
            <m:r>
              <w:rPr>
                <w:rFonts w:ascii="Cambria Math" w:hAnsi="Cambria Math"/>
              </w:rPr>
              <m:t>h</m:t>
            </m:r>
            <m:r>
              <m:rPr>
                <m:sty m:val="p"/>
              </m:rPr>
              <w:rPr>
                <w:rFonts w:ascii="Cambria Math" w:hAnsi="Cambria Math"/>
              </w:rPr>
              <m:t>=0</m:t>
            </m:r>
          </m:sub>
          <m:sup>
            <m:r>
              <w:rPr>
                <w:rFonts w:ascii="Cambria Math" w:hAnsi="Cambria Math"/>
              </w:rPr>
              <m:t>H</m:t>
            </m:r>
          </m:sup>
        </m:sSubSup>
      </m:oMath>
      <w:r w:rsidR="006E4151">
        <w:t xml:space="preserve">). Because the data are semiannual, the time horizons are in the half-year increments. </w:t>
      </w:r>
      <w:r w:rsidR="006B083A">
        <w:t xml:space="preserve">The thin, dashed lines </w:t>
      </w:r>
      <w:r w:rsidR="006E4151">
        <w:t>indicate the 90% confidence bands which are based on Driscoll-</w:t>
      </w:r>
      <w:proofErr w:type="spellStart"/>
      <w:r w:rsidR="006E4151">
        <w:t>Kraay</w:t>
      </w:r>
      <w:proofErr w:type="spellEnd"/>
      <w:r w:rsidR="006E4151">
        <w:t xml:space="preserve"> (1998) standard errors that allow arbitrary correlations of the error term in </w:t>
      </w:r>
      <w:r w:rsidR="006E4151">
        <w:lastRenderedPageBreak/>
        <w:t xml:space="preserve">specification (1’) across countries and time. As a point of comparison, each subpanel also reports the response in the linear model (i.e., </w:t>
      </w:r>
      <m:oMath>
        <m:sSub>
          <m:sSubPr>
            <m:ctrlPr>
              <w:rPr>
                <w:rFonts w:ascii="Cambria Math" w:hAnsi="Cambria Math"/>
                <w:i/>
              </w:rPr>
            </m:ctrlPr>
          </m:sSubPr>
          <m:e>
            <m:r>
              <w:rPr>
                <w:rFonts w:ascii="Cambria Math" w:hAnsi="Cambria Math"/>
              </w:rPr>
              <m:t>Π</m:t>
            </m:r>
          </m:e>
          <m:sub>
            <m:r>
              <w:rPr>
                <w:rFonts w:ascii="Cambria Math" w:hAnsi="Cambria Math"/>
              </w:rPr>
              <m:t>R,h</m:t>
            </m:r>
          </m:sub>
        </m:sSub>
        <m:d>
          <m:dPr>
            <m:ctrlPr>
              <w:rPr>
                <w:rFonts w:ascii="Cambria Math" w:hAnsi="Cambria Math"/>
                <w:i/>
              </w:rPr>
            </m:ctrlPr>
          </m:dPr>
          <m:e>
            <m:r>
              <w:rPr>
                <w:rFonts w:ascii="Cambria Math" w:hAnsi="Cambria Math"/>
              </w:rPr>
              <m:t>L</m:t>
            </m:r>
          </m:e>
        </m:d>
        <m:r>
          <w:rPr>
            <w:rFonts w:ascii="Cambria Math" w:hAnsi="Cambria Math"/>
          </w:rPr>
          <m:t>=</m:t>
        </m:r>
        <m:sSub>
          <m:sSubPr>
            <m:ctrlPr>
              <w:rPr>
                <w:rFonts w:ascii="Cambria Math" w:hAnsi="Cambria Math"/>
                <w:i/>
              </w:rPr>
            </m:ctrlPr>
          </m:sSubPr>
          <m:e>
            <m:r>
              <w:rPr>
                <w:rFonts w:ascii="Cambria Math" w:hAnsi="Cambria Math"/>
              </w:rPr>
              <m:t>Π</m:t>
            </m:r>
          </m:e>
          <m:sub>
            <m:r>
              <w:rPr>
                <w:rFonts w:ascii="Cambria Math" w:hAnsi="Cambria Math"/>
              </w:rPr>
              <m:t>E,h</m:t>
            </m:r>
          </m:sub>
        </m:sSub>
        <m:d>
          <m:dPr>
            <m:ctrlPr>
              <w:rPr>
                <w:rFonts w:ascii="Cambria Math" w:hAnsi="Cambria Math"/>
                <w:i/>
              </w:rPr>
            </m:ctrlPr>
          </m:dPr>
          <m:e>
            <m:r>
              <w:rPr>
                <w:rFonts w:ascii="Cambria Math" w:hAnsi="Cambria Math"/>
              </w:rPr>
              <m:t>L</m:t>
            </m:r>
          </m:e>
        </m:d>
        <m:r>
          <w:rPr>
            <w:rFonts w:ascii="Cambria Math" w:hAnsi="Cambria Math"/>
          </w:rPr>
          <m:t>,</m:t>
        </m:r>
        <m:sSub>
          <m:sSubPr>
            <m:ctrlPr>
              <w:rPr>
                <w:rFonts w:ascii="Cambria Math" w:hAnsi="Cambria Math"/>
                <w:i/>
              </w:rPr>
            </m:ctrlPr>
          </m:sSubPr>
          <m:e>
            <m:r>
              <m:rPr>
                <m:sty m:val="p"/>
              </m:rPr>
              <w:rPr>
                <w:rFonts w:ascii="Cambria Math" w:hAnsi="Cambria Math"/>
              </w:rPr>
              <m:t>Ψ</m:t>
            </m:r>
          </m:e>
          <m:sub>
            <m:r>
              <w:rPr>
                <w:rFonts w:ascii="Cambria Math" w:hAnsi="Cambria Math"/>
              </w:rPr>
              <m:t>R,h</m:t>
            </m:r>
          </m:sub>
        </m:sSub>
        <m:d>
          <m:dPr>
            <m:ctrlPr>
              <w:rPr>
                <w:rFonts w:ascii="Cambria Math" w:hAnsi="Cambria Math"/>
                <w:i/>
              </w:rPr>
            </m:ctrlPr>
          </m:dPr>
          <m:e>
            <m:r>
              <w:rPr>
                <w:rFonts w:ascii="Cambria Math" w:hAnsi="Cambria Math"/>
              </w:rPr>
              <m:t>L</m:t>
            </m:r>
          </m:e>
        </m:d>
        <m:r>
          <w:rPr>
            <w:rFonts w:ascii="Cambria Math" w:hAnsi="Cambria Math"/>
          </w:rPr>
          <m:t>=</m:t>
        </m:r>
        <m:sSub>
          <m:sSubPr>
            <m:ctrlPr>
              <w:rPr>
                <w:rFonts w:ascii="Cambria Math" w:hAnsi="Cambria Math"/>
                <w:i/>
              </w:rPr>
            </m:ctrlPr>
          </m:sSubPr>
          <m:e>
            <m:r>
              <m:rPr>
                <m:sty m:val="p"/>
              </m:rPr>
              <w:rPr>
                <w:rFonts w:ascii="Cambria Math" w:hAnsi="Cambria Math"/>
              </w:rPr>
              <m:t>Ψ</m:t>
            </m:r>
          </m:e>
          <m:sub>
            <m:r>
              <w:rPr>
                <w:rFonts w:ascii="Cambria Math" w:hAnsi="Cambria Math"/>
              </w:rPr>
              <m:t>E,h</m:t>
            </m:r>
          </m:sub>
        </m:sSub>
        <m:d>
          <m:dPr>
            <m:ctrlPr>
              <w:rPr>
                <w:rFonts w:ascii="Cambria Math" w:hAnsi="Cambria Math"/>
                <w:i/>
              </w:rPr>
            </m:ctrlPr>
          </m:dPr>
          <m:e>
            <m:r>
              <w:rPr>
                <w:rFonts w:ascii="Cambria Math" w:hAnsi="Cambria Math"/>
              </w:rPr>
              <m:t>L</m:t>
            </m:r>
          </m:e>
        </m:d>
        <m:r>
          <w:rPr>
            <w:rFonts w:ascii="Cambria Math" w:hAnsi="Cambria Math"/>
          </w:rPr>
          <m:t xml:space="preserve">, </m:t>
        </m:r>
        <m:sSub>
          <m:sSubPr>
            <m:ctrlPr>
              <w:rPr>
                <w:rFonts w:ascii="Cambria Math" w:hAnsi="Cambria Math"/>
                <w:i/>
              </w:rPr>
            </m:ctrlPr>
          </m:sSubPr>
          <m:e>
            <m:r>
              <m:rPr>
                <m:sty m:val="p"/>
              </m:rPr>
              <w:rPr>
                <w:rFonts w:ascii="Cambria Math" w:hAnsi="Cambria Math"/>
              </w:rPr>
              <m:t>Φ</m:t>
            </m:r>
          </m:e>
          <m:sub>
            <m:r>
              <w:rPr>
                <w:rFonts w:ascii="Cambria Math" w:hAnsi="Cambria Math"/>
              </w:rPr>
              <m:t>E,h</m:t>
            </m:r>
          </m:sub>
        </m:sSub>
        <m:r>
          <w:rPr>
            <w:rFonts w:ascii="Cambria Math" w:hAnsi="Cambria Math"/>
          </w:rPr>
          <m:t>=</m:t>
        </m:r>
        <m:sSub>
          <m:sSubPr>
            <m:ctrlPr>
              <w:rPr>
                <w:rFonts w:ascii="Cambria Math" w:hAnsi="Cambria Math"/>
                <w:i/>
              </w:rPr>
            </m:ctrlPr>
          </m:sSubPr>
          <m:e>
            <m:r>
              <m:rPr>
                <m:sty m:val="p"/>
              </m:rPr>
              <w:rPr>
                <w:rFonts w:ascii="Cambria Math" w:hAnsi="Cambria Math"/>
              </w:rPr>
              <m:t>Φ</m:t>
            </m:r>
          </m:e>
          <m:sub>
            <m:r>
              <w:rPr>
                <w:rFonts w:ascii="Cambria Math" w:hAnsi="Cambria Math"/>
              </w:rPr>
              <m:t>R,h</m:t>
            </m:r>
          </m:sub>
        </m:sSub>
      </m:oMath>
      <w:r w:rsidR="006E4151">
        <w:t xml:space="preserve"> for all </w:t>
      </w:r>
      <m:oMath>
        <m:r>
          <w:rPr>
            <w:rFonts w:ascii="Cambria Math" w:hAnsi="Cambria Math"/>
          </w:rPr>
          <m:t>L</m:t>
        </m:r>
      </m:oMath>
      <w:r w:rsidR="006E4151">
        <w:t xml:space="preserve"> </w:t>
      </w:r>
      <w:proofErr w:type="gramStart"/>
      <w:r w:rsidR="006E4151">
        <w:t xml:space="preserve">and </w:t>
      </w:r>
      <m:oMath>
        <w:proofErr w:type="gramEnd"/>
        <m:r>
          <w:rPr>
            <w:rFonts w:ascii="Cambria Math" w:hAnsi="Cambria Math"/>
          </w:rPr>
          <m:t>h</m:t>
        </m:r>
      </m:oMath>
      <w:r w:rsidR="006E4151">
        <w:t xml:space="preserve">; </w:t>
      </w:r>
      <w:r w:rsidR="00BC5C09">
        <w:t xml:space="preserve">thin </w:t>
      </w:r>
      <w:r w:rsidR="006E4151">
        <w:t>red line) and associated 90% confidence bands (</w:t>
      </w:r>
      <w:r w:rsidR="006B083A">
        <w:t>shaded region</w:t>
      </w:r>
      <w:r w:rsidR="006E4151">
        <w:t>)</w:t>
      </w:r>
      <w:r w:rsidR="000032C4">
        <w:t xml:space="preserve"> which are also based on Driscoll-</w:t>
      </w:r>
      <w:proofErr w:type="spellStart"/>
      <w:r w:rsidR="000032C4">
        <w:t>Kraay</w:t>
      </w:r>
      <w:proofErr w:type="spellEnd"/>
      <w:r w:rsidR="000032C4">
        <w:t xml:space="preserve"> (1998) standard errors.</w:t>
      </w:r>
      <w:r w:rsidR="00270005">
        <w:rPr>
          <w:rStyle w:val="FootnoteReference"/>
        </w:rPr>
        <w:footnoteReference w:id="3"/>
      </w:r>
      <w:r w:rsidR="000032C4">
        <w:t xml:space="preserve"> </w:t>
      </w:r>
    </w:p>
    <w:p w:rsidR="000420E8" w:rsidRDefault="000420E8" w:rsidP="000420E8">
      <w:pPr>
        <w:spacing w:line="480" w:lineRule="auto"/>
        <w:ind w:firstLine="720"/>
      </w:pPr>
      <w:r>
        <w:t>The responses of output (</w:t>
      </w:r>
      <w:r w:rsidR="0062653A">
        <w:fldChar w:fldCharType="begin"/>
      </w:r>
      <w:r w:rsidR="003135DA">
        <w:instrText xml:space="preserve"> REF _Ref289807725 \h </w:instrText>
      </w:r>
      <w:r w:rsidR="0062653A">
        <w:fldChar w:fldCharType="separate"/>
      </w:r>
      <w:r w:rsidR="00E724CE">
        <w:t xml:space="preserve">Panel </w:t>
      </w:r>
      <w:r w:rsidR="00E724CE">
        <w:rPr>
          <w:noProof/>
        </w:rPr>
        <w:t>A</w:t>
      </w:r>
      <w:r w:rsidR="0062653A">
        <w:fldChar w:fldCharType="end"/>
      </w:r>
      <w:r>
        <w:t xml:space="preserve">) are remarkably different across regimes and models. In the linear model, only the contemporaneous response is positive and marginally statistically significant.  For the next two periods, the response is positive but not statistically different from zero and then the point estimates of the response turn negative although we cannot reject the null that these responses are zero. In contrast, the </w:t>
      </w:r>
      <w:r w:rsidR="006B083A">
        <w:t>response of output in the recessionary regime is robustly positive up to two years. If we use the ratio of government spending to output (=</w:t>
      </w:r>
      <w:r w:rsidR="00045212">
        <w:t xml:space="preserve"> </w:t>
      </w:r>
      <w:r w:rsidR="006B083A">
        <w:t xml:space="preserve">5.12) for the U.S. to convert percentage changes into dollar changes, the maximum size of the </w:t>
      </w:r>
      <w:r w:rsidR="00D46FB5">
        <w:t xml:space="preserve">government spending </w:t>
      </w:r>
      <w:r w:rsidR="006B083A">
        <w:t xml:space="preserve">multiplier is </w:t>
      </w:r>
      <w:r w:rsidR="006B083A" w:rsidRPr="008E3E17">
        <w:t xml:space="preserve">about </w:t>
      </w:r>
      <w:r w:rsidR="0009008F" w:rsidRPr="008E3E17">
        <w:t>2</w:t>
      </w:r>
      <w:r w:rsidR="006B083A" w:rsidRPr="008E3E17">
        <w:t>.9</w:t>
      </w:r>
      <w:r w:rsidR="00AC04F1" w:rsidRPr="008E3E17">
        <w:t xml:space="preserve"> with the 90% confidence interval being (</w:t>
      </w:r>
      <w:r w:rsidR="0009008F" w:rsidRPr="008E3E17">
        <w:t>1</w:t>
      </w:r>
      <w:r w:rsidR="00AC04F1" w:rsidRPr="008E3E17">
        <w:t>.</w:t>
      </w:r>
      <w:r w:rsidR="0009008F" w:rsidRPr="008E3E17">
        <w:t>2</w:t>
      </w:r>
      <w:r w:rsidR="00AC04F1" w:rsidRPr="008E3E17">
        <w:t>,</w:t>
      </w:r>
      <w:r w:rsidR="00045212">
        <w:t xml:space="preserve"> </w:t>
      </w:r>
      <w:r w:rsidR="0009008F" w:rsidRPr="008E3E17">
        <w:t>5</w:t>
      </w:r>
      <w:r w:rsidR="00AC04F1" w:rsidRPr="008E3E17">
        <w:t>.</w:t>
      </w:r>
      <w:r w:rsidR="0009008F" w:rsidRPr="008E3E17">
        <w:t>4</w:t>
      </w:r>
      <w:r w:rsidR="00AC04F1" w:rsidRPr="008E3E17">
        <w:t>4)</w:t>
      </w:r>
      <w:r w:rsidR="00D46FB5" w:rsidRPr="008E3E17">
        <w:t>.</w:t>
      </w:r>
      <w:r w:rsidR="00D46FB5">
        <w:t xml:space="preserve"> </w:t>
      </w:r>
      <w:r w:rsidR="006B083A">
        <w:t xml:space="preserve"> </w:t>
      </w:r>
      <w:r w:rsidR="00AC04F1">
        <w:t xml:space="preserve">The response of output in the expansionary regime is much weaker, in fact negative at some horizons, but generally we cannot reject the null </w:t>
      </w:r>
      <w:r w:rsidR="00E11B16">
        <w:t xml:space="preserve">that </w:t>
      </w:r>
      <w:r w:rsidR="00AC04F1">
        <w:t xml:space="preserve">the response is zero for most horizons. </w:t>
      </w:r>
      <w:r>
        <w:t xml:space="preserve"> </w:t>
      </w:r>
      <w:r w:rsidR="006C05F2">
        <w:t>This result is consistent with our earlier work for the U</w:t>
      </w:r>
      <w:r w:rsidR="001A210F">
        <w:t xml:space="preserve">nited </w:t>
      </w:r>
      <w:r w:rsidR="006C05F2">
        <w:t>S</w:t>
      </w:r>
      <w:r w:rsidR="001A210F">
        <w:t>tates</w:t>
      </w:r>
      <w:r w:rsidR="006C05F2">
        <w:t xml:space="preserve"> where we estimate the </w:t>
      </w:r>
      <w:r w:rsidR="007138E7">
        <w:t>spending</w:t>
      </w:r>
      <w:r w:rsidR="006C05F2">
        <w:t xml:space="preserve"> multiplier to be approximately zero in expansions and about 1.5-2.0 in recessions.  This finding is also consistent with the estimates reported in the nascent literature </w:t>
      </w:r>
      <w:r w:rsidR="00624C6C">
        <w:t xml:space="preserve">that explores cyclical variation of fiscal multipliers. </w:t>
      </w:r>
      <w:r w:rsidR="007138E7">
        <w:t xml:space="preserve"> For example, Bachmann and Sims (2011) also report that the spending multiplier is approximately zero in expansions and approximately 3 in recessions. </w:t>
      </w:r>
      <w:r w:rsidR="00F060CD">
        <w:t xml:space="preserve"> </w:t>
      </w:r>
      <w:r w:rsidR="00055B0D">
        <w:t xml:space="preserve">Using state-level variation in government spending, </w:t>
      </w:r>
      <w:proofErr w:type="spellStart"/>
      <w:r w:rsidR="00055B0D">
        <w:t>Shoag</w:t>
      </w:r>
      <w:proofErr w:type="spellEnd"/>
      <w:r w:rsidR="00055B0D">
        <w:t xml:space="preserve"> (2011) reports that the multiplier is approximately 3.0-3.5 when labor markets have a slack, which could interpreted as a recessionary regime, and only approximately 1.5 when there is no slack, which could interpreted as an expansionary regime. </w:t>
      </w:r>
      <w:r w:rsidR="00F060CD">
        <w:t xml:space="preserve">Finally, observe that the linear model fails to find </w:t>
      </w:r>
      <w:r w:rsidR="00505D2B">
        <w:t xml:space="preserve">a </w:t>
      </w:r>
      <w:r w:rsidR="00F060CD">
        <w:t>significant or</w:t>
      </w:r>
      <w:r w:rsidR="002F3562">
        <w:t xml:space="preserve"> a</w:t>
      </w:r>
      <w:r w:rsidR="00F060CD">
        <w:t xml:space="preserve"> </w:t>
      </w:r>
      <w:r w:rsidR="00F060CD">
        <w:lastRenderedPageBreak/>
        <w:t>large response of output to government spending shocks.</w:t>
      </w:r>
      <w:r w:rsidR="0016571D">
        <w:t xml:space="preserve"> Thus, the linear model can considerably underestimate the stimulating power of government spending in recessions and overstate it in expansions. </w:t>
      </w:r>
    </w:p>
    <w:p w:rsidR="000C42D3" w:rsidRDefault="000C42D3" w:rsidP="000420E8">
      <w:pPr>
        <w:spacing w:line="480" w:lineRule="auto"/>
        <w:ind w:firstLine="720"/>
      </w:pPr>
      <w:r>
        <w:t xml:space="preserve">These differential responses of output naturally raise the questions about the channels of amplification and propagation of government spending shocks through the economies. To get a sense of the basic mechanisms behind these responses, we examine </w:t>
      </w:r>
      <w:r w:rsidR="00383C5C">
        <w:t xml:space="preserve">in </w:t>
      </w:r>
      <w:r w:rsidR="00383617">
        <w:t xml:space="preserve">Tables </w:t>
      </w:r>
      <w:r w:rsidR="00872107">
        <w:t>1</w:t>
      </w:r>
      <w:r w:rsidR="00383617">
        <w:t xml:space="preserve"> and </w:t>
      </w:r>
      <w:r w:rsidR="00872107">
        <w:t>2</w:t>
      </w:r>
      <w:r w:rsidR="00383617">
        <w:t xml:space="preserve"> and </w:t>
      </w:r>
      <w:r w:rsidR="00383C5C">
        <w:t>Figure 3</w:t>
      </w:r>
      <w:r w:rsidR="00383617">
        <w:t xml:space="preserve">, which corresponds to Table </w:t>
      </w:r>
      <w:r w:rsidR="00872107">
        <w:t>1</w:t>
      </w:r>
      <w:r w:rsidR="00383617">
        <w:t>,</w:t>
      </w:r>
      <w:r w:rsidR="00383C5C">
        <w:t xml:space="preserve"> </w:t>
      </w:r>
      <w:r>
        <w:t xml:space="preserve">the responses of various macroeconomic variables to government spending shocks. </w:t>
      </w:r>
    </w:p>
    <w:p w:rsidR="00A52B37" w:rsidRDefault="0062653A" w:rsidP="000420E8">
      <w:pPr>
        <w:spacing w:line="480" w:lineRule="auto"/>
        <w:ind w:firstLine="720"/>
      </w:pPr>
      <w:r>
        <w:fldChar w:fldCharType="begin"/>
      </w:r>
      <w:r w:rsidR="003135DA">
        <w:instrText xml:space="preserve"> REF _Ref289807734 \h </w:instrText>
      </w:r>
      <w:r>
        <w:fldChar w:fldCharType="separate"/>
      </w:r>
      <w:proofErr w:type="gramStart"/>
      <w:r w:rsidR="00E724CE">
        <w:t xml:space="preserve">Panel </w:t>
      </w:r>
      <w:r w:rsidR="00E724CE">
        <w:rPr>
          <w:noProof/>
        </w:rPr>
        <w:t>B</w:t>
      </w:r>
      <w:r>
        <w:fldChar w:fldCharType="end"/>
      </w:r>
      <w:r w:rsidR="00420CC8">
        <w:t xml:space="preserve"> shows that private consumption appears to be crowded out in expansions and to be stimulated in recessions by increased government spending shocks.</w:t>
      </w:r>
      <w:proofErr w:type="gramEnd"/>
      <w:r w:rsidR="00420CC8">
        <w:t xml:space="preserve"> </w:t>
      </w:r>
      <w:r w:rsidR="0020200B">
        <w:t>Again, if we take the ratio of government spending to private consumption for the U.S. (≈</w:t>
      </w:r>
      <w:r w:rsidR="00045212">
        <w:t xml:space="preserve"> </w:t>
      </w:r>
      <w:r w:rsidR="0020200B">
        <w:t>3.5), a dollar increase in government spending in recessions can increase consumption up to $2.8</w:t>
      </w:r>
      <w:r w:rsidR="00F060CD">
        <w:t xml:space="preserve"> with </w:t>
      </w:r>
      <w:r w:rsidR="00045212">
        <w:t xml:space="preserve">a </w:t>
      </w:r>
      <w:r w:rsidR="00F060CD">
        <w:t>90 percent confidence interval of (0.7,</w:t>
      </w:r>
      <w:r w:rsidR="00045212">
        <w:t xml:space="preserve"> </w:t>
      </w:r>
      <w:r w:rsidR="00F060CD">
        <w:t>4.8)</w:t>
      </w:r>
      <w:r w:rsidR="0020200B">
        <w:t xml:space="preserve">.  </w:t>
      </w:r>
      <w:r w:rsidR="00175389">
        <w:t>Although some may consider this multiplier as too large to be plausible, note that this multiplier applies to a very deep recession and the average response over three years is about $2. Also observe</w:t>
      </w:r>
      <w:r w:rsidR="00F060CD">
        <w:t xml:space="preserve"> that the linear model predicts that the maximum response of consumption to a dollar increase in government spending would be approximately $1</w:t>
      </w:r>
      <w:r w:rsidR="002F3562">
        <w:t xml:space="preserve">, which is not small economically but in statistical terms is marginally significantly different from zero. </w:t>
      </w:r>
      <w:r w:rsidR="00A52B37">
        <w:t xml:space="preserve">Although we do not have data to explore further the sources of these consumption multipliers, Bachmann and Sims (2011) argue that an important ingredient for stimulating consumption in recessions is the response of consumer confidence to government spending shocks. </w:t>
      </w:r>
      <w:r w:rsidR="00F475D0">
        <w:t xml:space="preserve"> Bachmann and Sims note that government spending shocks may have pure sentiment effects (i.e., one can think of </w:t>
      </w:r>
      <w:r w:rsidR="00872107">
        <w:t>“</w:t>
      </w:r>
      <w:r w:rsidR="00F475D0">
        <w:t>animal spirits</w:t>
      </w:r>
      <w:r w:rsidR="00872107">
        <w:t>”</w:t>
      </w:r>
      <w:r w:rsidR="00F475D0">
        <w:t xml:space="preserve"> shifted by changes in government spending) and news effects when changes in government spending signal about future changes in output and productivity.  In the </w:t>
      </w:r>
      <w:r w:rsidR="00F475D0">
        <w:lastRenderedPageBreak/>
        <w:t xml:space="preserve">U.S. context, Bachmann and Sims find that it is the latter effect that stimulates confidence and hence consumption. </w:t>
      </w:r>
    </w:p>
    <w:p w:rsidR="00420CC8" w:rsidRDefault="00420CC8" w:rsidP="000420E8">
      <w:pPr>
        <w:spacing w:line="480" w:lineRule="auto"/>
        <w:ind w:firstLine="720"/>
      </w:pPr>
      <w:r>
        <w:t>The</w:t>
      </w:r>
      <w:r w:rsidR="00A7628C">
        <w:t xml:space="preserve"> countercyclical pattern of</w:t>
      </w:r>
      <w:r>
        <w:t xml:space="preserve"> crowding-out and stimulatory effects of government spending are </w:t>
      </w:r>
      <w:r w:rsidR="00A7628C">
        <w:t xml:space="preserve">particularly </w:t>
      </w:r>
      <w:r>
        <w:t>apparent in the responses of private investment</w:t>
      </w:r>
      <w:r w:rsidR="00AC2086">
        <w:t xml:space="preserve"> (Panel C)</w:t>
      </w:r>
      <w:r>
        <w:t>.</w:t>
      </w:r>
      <w:r w:rsidR="00065347">
        <w:t xml:space="preserve"> </w:t>
      </w:r>
      <w:r w:rsidR="003503E1">
        <w:t>Over three years, a dollar increase in government spending increases investment in recessions by approximately $1.4 and decreases investment in expansions by approximately $1.7-1.9 if we use the ratio of private investment to government spending in the U.S. (≈</w:t>
      </w:r>
      <w:r w:rsidR="0023739F">
        <w:t xml:space="preserve"> </w:t>
      </w:r>
      <w:r w:rsidR="003503E1">
        <w:t>0.8).</w:t>
      </w:r>
      <w:r w:rsidR="00065347">
        <w:t xml:space="preserve"> </w:t>
      </w:r>
      <w:r>
        <w:t xml:space="preserve"> </w:t>
      </w:r>
      <w:r w:rsidR="00383617">
        <w:t>In contrast</w:t>
      </w:r>
      <w:r>
        <w:t xml:space="preserve">, the linear model would predict that </w:t>
      </w:r>
      <w:r w:rsidR="00383617">
        <w:t>investment does not</w:t>
      </w:r>
      <w:r>
        <w:t xml:space="preserve"> respond to government spending shocks. </w:t>
      </w:r>
      <w:r w:rsidR="00327DE3">
        <w:t xml:space="preserve">Thus, imposing the same responses in recessions and expansions can mask a great deal of </w:t>
      </w:r>
      <w:r w:rsidR="00D50533">
        <w:t xml:space="preserve">heterogeneity in responses over the business cycle. </w:t>
      </w:r>
    </w:p>
    <w:p w:rsidR="00A1158D" w:rsidRDefault="0062653A" w:rsidP="00102355">
      <w:pPr>
        <w:spacing w:line="480" w:lineRule="auto"/>
        <w:ind w:firstLine="720"/>
      </w:pPr>
      <w:r>
        <w:fldChar w:fldCharType="begin"/>
      </w:r>
      <w:r w:rsidR="001F13AC">
        <w:instrText xml:space="preserve"> REF _Ref289807747 \h </w:instrText>
      </w:r>
      <w:r>
        <w:fldChar w:fldCharType="separate"/>
      </w:r>
      <w:r w:rsidR="00E724CE">
        <w:t>Panel</w:t>
      </w:r>
      <w:r w:rsidR="000360DC">
        <w:t>s</w:t>
      </w:r>
      <w:r w:rsidR="00E724CE">
        <w:t xml:space="preserve"> </w:t>
      </w:r>
      <w:r w:rsidR="00E724CE">
        <w:rPr>
          <w:noProof/>
        </w:rPr>
        <w:t>D</w:t>
      </w:r>
      <w:r>
        <w:fldChar w:fldCharType="end"/>
      </w:r>
      <w:r w:rsidR="001F13AC">
        <w:t>, E and F</w:t>
      </w:r>
      <w:r w:rsidR="00102355">
        <w:t xml:space="preserve"> show the responses of total employment, employment in the private sector, and the unemployment rate. </w:t>
      </w:r>
      <w:proofErr w:type="gramStart"/>
      <w:r w:rsidR="00102355">
        <w:t>In the recessionary regime, increased government spending leads to more total employment</w:t>
      </w:r>
      <w:r w:rsidR="007B24E1">
        <w:t>.</w:t>
      </w:r>
      <w:proofErr w:type="gramEnd"/>
      <w:r w:rsidR="007B24E1">
        <w:t xml:space="preserve"> This </w:t>
      </w:r>
      <w:r w:rsidR="007B24E1" w:rsidRPr="008E3E17">
        <w:t>increase in employment comes to a large extent from the increase in the private sector employment. For example, after 2.5 years, total employment increases by 0.</w:t>
      </w:r>
      <w:r w:rsidR="0093250A">
        <w:t>5</w:t>
      </w:r>
      <w:r w:rsidR="007B24E1" w:rsidRPr="008E3E17">
        <w:t xml:space="preserve"> percent while the private employment increases by 0.</w:t>
      </w:r>
      <w:r w:rsidR="0009008F" w:rsidRPr="008E3E17">
        <w:t xml:space="preserve">9 </w:t>
      </w:r>
      <w:r w:rsidR="007B24E1" w:rsidRPr="008E3E17">
        <w:t>percent</w:t>
      </w:r>
      <w:r w:rsidR="007B24E1">
        <w:t xml:space="preserve"> in responses to a one percent increase in government spending</w:t>
      </w:r>
      <w:r w:rsidR="00C741C1">
        <w:t xml:space="preserve"> given that the economy is in a recession</w:t>
      </w:r>
      <w:r w:rsidR="007B24E1">
        <w:t xml:space="preserve">. </w:t>
      </w:r>
      <w:r w:rsidR="00102355">
        <w:t xml:space="preserve"> </w:t>
      </w:r>
      <w:r w:rsidR="00A1158D">
        <w:t>Consistent with the employment responses, the unemployment rate shrinks after a government spending shock in a recession. On the other hand, the response of employment (or the unemployment rate) to</w:t>
      </w:r>
      <w:r w:rsidR="00E2128D">
        <w:t xml:space="preserve"> a</w:t>
      </w:r>
      <w:r w:rsidR="00A1158D">
        <w:t xml:space="preserve"> government spending shock in an expansion is anemic at best: </w:t>
      </w:r>
      <w:r w:rsidR="00E2128D">
        <w:t xml:space="preserve">it is </w:t>
      </w:r>
      <w:r w:rsidR="00A1158D">
        <w:t>generally close to zero and not statistically different from zero.</w:t>
      </w:r>
    </w:p>
    <w:p w:rsidR="00D50533" w:rsidRDefault="00A67F59" w:rsidP="00102355">
      <w:pPr>
        <w:spacing w:line="480" w:lineRule="auto"/>
        <w:ind w:firstLine="720"/>
      </w:pPr>
      <w:r>
        <w:t>To have a better sense of what the percentage changes mean in terms of jobs, we can use the ratio of private employment to real government spending for the U.S. (≈</w:t>
      </w:r>
      <w:r w:rsidR="00FD3DCB">
        <w:t xml:space="preserve"> </w:t>
      </w:r>
      <w:r>
        <w:t>49 thousands/billion) to find that a one billion dollar increase in government spending creates approximately 44 thousand jobs</w:t>
      </w:r>
      <w:r w:rsidR="00A20C42">
        <w:t xml:space="preserve">; the </w:t>
      </w:r>
      <w:r w:rsidR="002E7224">
        <w:t xml:space="preserve">90 percent confidence interval </w:t>
      </w:r>
      <w:r w:rsidR="00A20C42">
        <w:t xml:space="preserve">is fairly wide and ranges </w:t>
      </w:r>
      <w:r w:rsidR="00A20C42">
        <w:lastRenderedPageBreak/>
        <w:t xml:space="preserve">from </w:t>
      </w:r>
      <w:r w:rsidR="002E7224">
        <w:t xml:space="preserve">2 </w:t>
      </w:r>
      <w:r w:rsidR="00A20C42">
        <w:t>to</w:t>
      </w:r>
      <w:r w:rsidR="002E7224">
        <w:t xml:space="preserve"> 88 thousand jobs</w:t>
      </w:r>
      <w:r w:rsidR="00A20C42">
        <w:t xml:space="preserve"> per a billion dollar increase in government spending</w:t>
      </w:r>
      <w:r>
        <w:t xml:space="preserve">. </w:t>
      </w:r>
      <w:r w:rsidR="00AF4E3F">
        <w:t xml:space="preserve"> </w:t>
      </w:r>
      <w:r w:rsidR="00A20C42">
        <w:t xml:space="preserve">One can also interpret this magnitude as stating that </w:t>
      </w:r>
      <w:r w:rsidR="00AF4E3F">
        <w:t xml:space="preserve">it takes </w:t>
      </w:r>
      <w:r w:rsidR="002E7224">
        <w:t xml:space="preserve">about 23 thousand dollars to create a job in a recession. </w:t>
      </w:r>
      <w:r w:rsidR="00A20C42">
        <w:t>Although it is hard to come by a comparable estimate of employment multipliers</w:t>
      </w:r>
      <w:r w:rsidR="00204D40">
        <w:t xml:space="preserve"> during recessions</w:t>
      </w:r>
      <w:r w:rsidR="00A20C42">
        <w:t xml:space="preserve"> in the literature, a few recent studies use the </w:t>
      </w:r>
      <w:r w:rsidR="00055B0D">
        <w:t xml:space="preserve">state- or county-level variation in government spending due to </w:t>
      </w:r>
      <w:r w:rsidR="00A20C42">
        <w:t xml:space="preserve">fiscal stimulus in the U.S. during the 2009-2010 period to estimate how many jobs were saved or created due to the fiscal stimulus. For example, Wilson (2010) </w:t>
      </w:r>
      <w:r w:rsidR="00055B0D">
        <w:t>reports that a billion</w:t>
      </w:r>
      <w:r w:rsidR="00FD3DCB">
        <w:t>-</w:t>
      </w:r>
      <w:r w:rsidR="00055B0D">
        <w:t>dollar increase in government spending raises employment by 25 thousand jobs</w:t>
      </w:r>
      <w:r w:rsidR="00647F1A">
        <w:t xml:space="preserve"> with standard error of 9.0 thousand jobs</w:t>
      </w:r>
      <w:r w:rsidR="00055B0D">
        <w:t>, i.e., an incremental job costs 39</w:t>
      </w:r>
      <w:r w:rsidR="00647F1A">
        <w:t>.2</w:t>
      </w:r>
      <w:r w:rsidR="00055B0D">
        <w:t xml:space="preserve"> thousand dollars</w:t>
      </w:r>
      <w:r w:rsidR="00647F1A">
        <w:t xml:space="preserve"> with the 90 percent confidence interval ranging between 25 and 96 thousand dollars</w:t>
      </w:r>
      <w:r w:rsidR="00055B0D">
        <w:t xml:space="preserve">.  </w:t>
      </w:r>
      <w:proofErr w:type="spellStart"/>
      <w:r w:rsidR="002E7224">
        <w:t>Chodorow</w:t>
      </w:r>
      <w:proofErr w:type="spellEnd"/>
      <w:r w:rsidR="002E7224">
        <w:t xml:space="preserve">-Reich et al. (2011) estimate that </w:t>
      </w:r>
      <w:r w:rsidR="00A1158D">
        <w:t>$100,000 increase in spending increases employment by about 3.5 jobs with standard error of 1.7 jobs or, alternatively, an additional job costs approximately 28 thousand dollars.  Thus, our estimates of employment multipliers in a recession are broadly in line with alternative estimates in th</w:t>
      </w:r>
      <w:r w:rsidR="00C07756">
        <w:t>is</w:t>
      </w:r>
      <w:r w:rsidR="00A1158D">
        <w:t xml:space="preserve"> literature. </w:t>
      </w:r>
    </w:p>
    <w:p w:rsidR="00C741C1" w:rsidRDefault="00C741C1" w:rsidP="00102355">
      <w:pPr>
        <w:spacing w:line="480" w:lineRule="auto"/>
        <w:ind w:firstLine="720"/>
      </w:pPr>
      <w:r>
        <w:t>We can get further insight into the workings of the labor market by examining the responses of real wages in expansions and recessions (</w:t>
      </w:r>
      <w:r w:rsidR="001776D8">
        <w:t>Panel G</w:t>
      </w:r>
      <w:r>
        <w:t>). We find that real wages remain largely unchanged in response to government spending shocks when the economy is in a recession. In contrast, government spending shocks appear to spur an increase in real wages in the expansionary regime. These results taken together with the responses of employment suggest that government spending</w:t>
      </w:r>
      <w:r w:rsidR="007D2409">
        <w:t xml:space="preserve"> shocks are probably absorbed into higher wages in expansions and into higher employment in recessions. </w:t>
      </w:r>
    </w:p>
    <w:p w:rsidR="00777D0B" w:rsidRDefault="00777D0B" w:rsidP="00777D0B">
      <w:pPr>
        <w:spacing w:line="480" w:lineRule="auto"/>
        <w:ind w:firstLine="720"/>
      </w:pPr>
      <w:r>
        <w:t xml:space="preserve">Panels H and I show the responses of real exports and real imports. By and large, we find only weak reactions of these variables to government spending shocks. Only the contemporaneous response of exports (negative) and imports (positive) are marginally significant in the recessionary regime. The pattern of the contemporaneous responses is consistent with </w:t>
      </w:r>
      <w:r>
        <w:lastRenderedPageBreak/>
        <w:t xml:space="preserve">short-term appreciation of the domestic currency, which could in turn be triggered by an increase in interest rates caused by a strengthening economy and/or the response of the monetary authorities to counteract spending shocks. </w:t>
      </w:r>
    </w:p>
    <w:p w:rsidR="000654AB" w:rsidRDefault="000654AB" w:rsidP="00102355">
      <w:pPr>
        <w:spacing w:line="480" w:lineRule="auto"/>
        <w:ind w:firstLine="720"/>
      </w:pPr>
      <w:r>
        <w:t xml:space="preserve">Finally, </w:t>
      </w:r>
      <w:r w:rsidR="00CC40BF">
        <w:t xml:space="preserve">Panels J and K </w:t>
      </w:r>
      <w:r w:rsidR="001F13AC">
        <w:t>show</w:t>
      </w:r>
      <w:r>
        <w:t xml:space="preserve"> the response of the price level measured by the consumer price index (CPI) and GDP deflator respectively. Generally, </w:t>
      </w:r>
      <w:r w:rsidR="003A60AB">
        <w:t xml:space="preserve">government </w:t>
      </w:r>
      <w:r>
        <w:t xml:space="preserve">spending shocks lead to inflationary contemporaneous responses in expansions and deflationary responses in recessions. At the longer horizons we cannot reject the null that the response of the price level is zero in either of the regimes.  These responses are largely consistent with the idea that prices may be relatively inflexible in the short run and most of the adjustment occurs via quantities. </w:t>
      </w:r>
    </w:p>
    <w:p w:rsidR="00FF5A32" w:rsidRDefault="00FF5A32" w:rsidP="00FF5A32">
      <w:pPr>
        <w:pStyle w:val="Heading2"/>
      </w:pPr>
      <w:r>
        <w:t>Discussion</w:t>
      </w:r>
    </w:p>
    <w:p w:rsidR="00FF5A32" w:rsidRDefault="00CE0E21" w:rsidP="00A6253F">
      <w:pPr>
        <w:spacing w:line="480" w:lineRule="auto"/>
      </w:pPr>
      <w:r>
        <w:t>Overall, the responses of key macroeconomic variables are remarkably consistent with the Keynesian view that the size of the spending multipliers should v</w:t>
      </w:r>
      <w:r w:rsidR="00656546">
        <w:t>a</w:t>
      </w:r>
      <w:r>
        <w:t xml:space="preserve">ry over the business cycle with fiscal policy being more effective </w:t>
      </w:r>
      <w:r w:rsidR="00FF5A32">
        <w:t xml:space="preserve">(i.e., larger multipliers) </w:t>
      </w:r>
      <w:r>
        <w:t xml:space="preserve">in recessions than in expansions. </w:t>
      </w:r>
      <w:r w:rsidR="00757968">
        <w:t xml:space="preserve"> </w:t>
      </w:r>
      <w:r w:rsidR="00FF5A32">
        <w:t xml:space="preserve"> </w:t>
      </w:r>
      <w:r w:rsidR="00757968">
        <w:t xml:space="preserve">Interestingly, Gali et al. (2007) argue that new Keynesian models are typically unable to generate an increase in private consumption after a government spending shock.  </w:t>
      </w:r>
      <w:r w:rsidR="0081566E">
        <w:t xml:space="preserve">Furthermore, spending multipliers rarely exceed one even in new Keynesian models. </w:t>
      </w:r>
      <w:r w:rsidR="00FF5A32">
        <w:t xml:space="preserve">In </w:t>
      </w:r>
      <w:r w:rsidR="0081566E">
        <w:t xml:space="preserve">many </w:t>
      </w:r>
      <w:r w:rsidR="00FF5A32">
        <w:t>respect</w:t>
      </w:r>
      <w:r w:rsidR="0081566E">
        <w:t>s</w:t>
      </w:r>
      <w:r w:rsidR="00FF5A32">
        <w:t xml:space="preserve">, new Keynesian models are similar to neoclassical models that emphasize crowding out of private consumption by increased government spending. </w:t>
      </w:r>
      <w:r w:rsidR="0081566E">
        <w:t xml:space="preserve"> </w:t>
      </w:r>
      <w:r w:rsidR="00DB4B91">
        <w:t xml:space="preserve">Recently, Woodford (2011) and Christiano et al. (2009) showed theoretically </w:t>
      </w:r>
      <w:r w:rsidR="00FF5A32">
        <w:t xml:space="preserve">in new Keynesian models </w:t>
      </w:r>
      <w:r w:rsidR="00DB4B91">
        <w:t xml:space="preserve">that </w:t>
      </w:r>
      <w:r w:rsidR="00383617">
        <w:t xml:space="preserve">government </w:t>
      </w:r>
      <w:r w:rsidR="00FF5A32">
        <w:t xml:space="preserve">spending shocks can have large multipliers when zero lower bound on nominal interest rates is binding.  </w:t>
      </w:r>
      <w:r w:rsidR="0031479E">
        <w:t xml:space="preserve">Using high-frequency data on interest, inflation and exchange rates, </w:t>
      </w:r>
      <w:r w:rsidR="00FF5A32">
        <w:t xml:space="preserve">Wieland (2011) </w:t>
      </w:r>
      <w:r w:rsidR="0031479E">
        <w:t>provides some empirical support for the spending multipliers to exceed one</w:t>
      </w:r>
      <w:r w:rsidR="00FF5A32">
        <w:t xml:space="preserve"> </w:t>
      </w:r>
      <w:r w:rsidR="00656546">
        <w:t>when there is a</w:t>
      </w:r>
      <w:r w:rsidR="00FF5A32">
        <w:t xml:space="preserve"> bi</w:t>
      </w:r>
      <w:r w:rsidR="00656546">
        <w:t>n</w:t>
      </w:r>
      <w:r w:rsidR="00FF5A32">
        <w:t>ding zero lower bound</w:t>
      </w:r>
      <w:r w:rsidR="0031479E">
        <w:t>. However, the</w:t>
      </w:r>
      <w:r w:rsidR="0081566E">
        <w:t xml:space="preserve"> upper</w:t>
      </w:r>
      <w:r w:rsidR="0031479E">
        <w:t xml:space="preserve"> bound on multipliers found by Wieland is typically about 1.5</w:t>
      </w:r>
      <w:r w:rsidR="00656546">
        <w:t>,</w:t>
      </w:r>
      <w:r w:rsidR="0031479E">
        <w:t xml:space="preserve"> which is considerably smaller than suggested by </w:t>
      </w:r>
      <w:r w:rsidR="00656546">
        <w:t xml:space="preserve">the </w:t>
      </w:r>
      <w:r w:rsidR="0031479E">
        <w:t xml:space="preserve">theoretical results </w:t>
      </w:r>
      <w:r w:rsidR="00656546">
        <w:t xml:space="preserve">of </w:t>
      </w:r>
      <w:r w:rsidR="0031479E">
        <w:t>Woodford (2011) and Christiano et al. (2009).</w:t>
      </w:r>
      <w:r w:rsidR="0081566E">
        <w:t xml:space="preserve"> </w:t>
      </w:r>
      <w:r w:rsidR="0081566E">
        <w:lastRenderedPageBreak/>
        <w:t xml:space="preserve">Furthermore, binding zero lower bound episodes during recessions </w:t>
      </w:r>
      <w:proofErr w:type="gramStart"/>
      <w:r w:rsidR="0081566E">
        <w:t>are</w:t>
      </w:r>
      <w:proofErr w:type="gramEnd"/>
      <w:r w:rsidR="0081566E">
        <w:t xml:space="preserve"> very rare in the modern history and thus it is hard to extend this argument more generally to recessions. </w:t>
      </w:r>
    </w:p>
    <w:p w:rsidR="00CE0E21" w:rsidRDefault="0081566E" w:rsidP="00102355">
      <w:pPr>
        <w:spacing w:line="480" w:lineRule="auto"/>
        <w:ind w:firstLine="720"/>
      </w:pPr>
      <w:r>
        <w:t xml:space="preserve">The discrepancy </w:t>
      </w:r>
      <w:r w:rsidR="00656546">
        <w:t xml:space="preserve">between </w:t>
      </w:r>
      <w:r>
        <w:t xml:space="preserve">the old and new Keynesian views on the effects of government spending shocks is striking. </w:t>
      </w:r>
      <w:r w:rsidR="00757968">
        <w:t xml:space="preserve">We conjecture that in part this </w:t>
      </w:r>
      <w:r w:rsidR="00270005">
        <w:t>discrepancy</w:t>
      </w:r>
      <w:r w:rsidR="00757968">
        <w:t xml:space="preserve"> stems from the fact that the notion of slack </w:t>
      </w:r>
      <w:r w:rsidR="00656546">
        <w:t xml:space="preserve">is largely absent from </w:t>
      </w:r>
      <w:r w:rsidR="00757968">
        <w:t>the new Keynesian models</w:t>
      </w:r>
      <w:r w:rsidR="005D5EE7">
        <w:t xml:space="preserve">. Indeed, </w:t>
      </w:r>
      <w:r w:rsidR="00757968">
        <w:t xml:space="preserve">despite </w:t>
      </w:r>
      <w:r w:rsidR="00270005">
        <w:t xml:space="preserve">having </w:t>
      </w:r>
      <w:r w:rsidR="00757968">
        <w:t>some frictions</w:t>
      </w:r>
      <w:r w:rsidR="00656546">
        <w:t>,</w:t>
      </w:r>
      <w:r w:rsidR="00757968">
        <w:t xml:space="preserve"> </w:t>
      </w:r>
      <w:r w:rsidR="00656546">
        <w:t xml:space="preserve">new Keynesian models </w:t>
      </w:r>
      <w:r w:rsidR="00757968">
        <w:t>effectively impose clearing factor and product markets and thus there is no spa</w:t>
      </w:r>
      <w:r w:rsidR="00270005">
        <w:t>r</w:t>
      </w:r>
      <w:r w:rsidR="00757968">
        <w:t xml:space="preserve">e capacity (or slack) in these model economies. </w:t>
      </w:r>
      <w:r w:rsidR="00270005">
        <w:t xml:space="preserve">In contrast, old Keynesian models emphasized that markets </w:t>
      </w:r>
      <w:r w:rsidR="00656546">
        <w:t xml:space="preserve">may </w:t>
      </w:r>
      <w:r w:rsidR="00270005">
        <w:t xml:space="preserve">not clear at all times and especially in recessions so that crowding out of private consumption or investment by government spending increases in recession </w:t>
      </w:r>
      <w:r w:rsidR="00656546">
        <w:t xml:space="preserve">can be </w:t>
      </w:r>
      <w:r w:rsidR="00270005">
        <w:t xml:space="preserve">minimal. </w:t>
      </w:r>
    </w:p>
    <w:p w:rsidR="00910FE5" w:rsidRDefault="00910FE5" w:rsidP="00910FE5">
      <w:pPr>
        <w:pStyle w:val="Heading1"/>
      </w:pPr>
      <w:r>
        <w:t>Concluding remarks</w:t>
      </w:r>
    </w:p>
    <w:p w:rsidR="00383617" w:rsidRDefault="00FB730E">
      <w:pPr>
        <w:spacing w:line="480" w:lineRule="auto"/>
      </w:pPr>
      <w:r>
        <w:t xml:space="preserve">During the Great Recession, countries around the world adopted expansionary fiscal policies aimed at counteracting the large negative shocks to their economies.  These actions occurred in spite of skepticism among many economists about the potential of fiscal policy to stimulate economic activity.  In the United States, at least, </w:t>
      </w:r>
      <w:r w:rsidR="00AD0107">
        <w:t>the stage for this active course for fiscal policy was already set</w:t>
      </w:r>
      <w:r w:rsidR="00671F91">
        <w:t xml:space="preserve"> by earlier policy developments, which showed a marked increase in fiscal policy activism earlier in the decade (Auerbach and Gale, 2009).</w:t>
      </w:r>
    </w:p>
    <w:p w:rsidR="00383617" w:rsidRDefault="00910FE5" w:rsidP="00383617">
      <w:pPr>
        <w:spacing w:line="480" w:lineRule="auto"/>
        <w:ind w:firstLine="720"/>
      </w:pPr>
      <w:r>
        <w:t>The results in this paper and those in our earlier one suggest that fiscal policy activism may indeed be effective at stimulating output during a deep recession, and that the potential negative side effects of fiscal stimulus, such as increased inflation, are also less likely under these circumstances.</w:t>
      </w:r>
      <w:r w:rsidR="005B524D">
        <w:t xml:space="preserve">  These empirical results call into question the</w:t>
      </w:r>
      <w:r w:rsidR="005C21E0">
        <w:t xml:space="preserve"> results from the new Keynesian literature, which suggests that shocks to government spending, even when increasing output, will crowd out private economic activity.  While there has been some recent progress providing a rationale for large multipliers when economies confront a binding zero lower bound </w:t>
      </w:r>
      <w:r w:rsidR="005C21E0">
        <w:lastRenderedPageBreak/>
        <w:t xml:space="preserve">on interest rates, our findings apply to more general recessionary conditions, and thus present a challenge for the development of new models that, like the simple traditional Keynesian model, can encompass positive fiscal multipliers for private activity. </w:t>
      </w:r>
      <w:r>
        <w:t xml:space="preserve"> </w:t>
      </w:r>
      <w:r w:rsidR="00671F91">
        <w:t xml:space="preserve"> </w:t>
      </w:r>
      <w:r w:rsidR="00AD0107">
        <w:t xml:space="preserve"> </w:t>
      </w:r>
    </w:p>
    <w:p w:rsidR="00665F39" w:rsidRDefault="00910FE5">
      <w:r w:rsidDel="00910FE5">
        <w:t xml:space="preserve"> </w:t>
      </w:r>
      <w:r w:rsidR="00D00FEC" w:rsidRPr="00D00FEC">
        <w:rPr>
          <w:highlight w:val="yellow"/>
        </w:rPr>
        <w:t>[</w:t>
      </w:r>
      <w:proofErr w:type="gramStart"/>
      <w:r w:rsidR="00A6253F">
        <w:rPr>
          <w:highlight w:val="yellow"/>
        </w:rPr>
        <w:t>more</w:t>
      </w:r>
      <w:proofErr w:type="gramEnd"/>
      <w:r w:rsidR="00A6253F">
        <w:rPr>
          <w:highlight w:val="yellow"/>
        </w:rPr>
        <w:t xml:space="preserve"> </w:t>
      </w:r>
      <w:r w:rsidR="00D00FEC" w:rsidRPr="00D00FEC">
        <w:rPr>
          <w:highlight w:val="yellow"/>
        </w:rPr>
        <w:t>to be added]</w:t>
      </w:r>
    </w:p>
    <w:p w:rsidR="00701ECB" w:rsidRDefault="00701ECB" w:rsidP="00A6253F">
      <w:pPr>
        <w:pStyle w:val="ListParagraph"/>
      </w:pPr>
    </w:p>
    <w:p w:rsidR="00DD6CBA" w:rsidRDefault="00DD6CBA" w:rsidP="00DD6CBA">
      <w:pPr>
        <w:pStyle w:val="Heading1"/>
        <w:numPr>
          <w:ilvl w:val="0"/>
          <w:numId w:val="0"/>
        </w:numPr>
        <w:tabs>
          <w:tab w:val="left" w:pos="720"/>
        </w:tabs>
        <w:jc w:val="left"/>
      </w:pPr>
      <w:r>
        <w:t>References</w:t>
      </w:r>
    </w:p>
    <w:p w:rsidR="00AD0107" w:rsidRDefault="00AD0107" w:rsidP="00AD0107">
      <w:pPr>
        <w:spacing w:after="240"/>
        <w:ind w:left="720" w:hanging="720"/>
        <w:rPr>
          <w:rFonts w:eastAsiaTheme="minorHAnsi"/>
        </w:rPr>
      </w:pPr>
      <w:proofErr w:type="gramStart"/>
      <w:r w:rsidRPr="00AD0107">
        <w:rPr>
          <w:rFonts w:eastAsiaTheme="minorHAnsi"/>
        </w:rPr>
        <w:t>Auerbac</w:t>
      </w:r>
      <w:r>
        <w:rPr>
          <w:rFonts w:eastAsiaTheme="minorHAnsi"/>
        </w:rPr>
        <w:t>h, Alan J., and William G. Gale,</w:t>
      </w:r>
      <w:r w:rsidRPr="00AD0107">
        <w:rPr>
          <w:rFonts w:eastAsiaTheme="minorHAnsi"/>
        </w:rPr>
        <w:t xml:space="preserve"> 2009.</w:t>
      </w:r>
      <w:proofErr w:type="gramEnd"/>
      <w:r>
        <w:rPr>
          <w:rFonts w:eastAsiaTheme="minorHAnsi"/>
        </w:rPr>
        <w:t xml:space="preserve"> </w:t>
      </w:r>
      <w:proofErr w:type="gramStart"/>
      <w:r w:rsidR="00872107">
        <w:rPr>
          <w:rFonts w:eastAsiaTheme="minorHAnsi"/>
        </w:rPr>
        <w:t>“</w:t>
      </w:r>
      <w:r w:rsidRPr="00AD0107">
        <w:rPr>
          <w:rFonts w:eastAsiaTheme="minorHAnsi"/>
        </w:rPr>
        <w:t>Activist Fiscal Policy to Stabilize Economic Activity.</w:t>
      </w:r>
      <w:r w:rsidR="00872107">
        <w:rPr>
          <w:rFonts w:eastAsiaTheme="minorHAnsi"/>
        </w:rPr>
        <w:t>”</w:t>
      </w:r>
      <w:proofErr w:type="gramEnd"/>
      <w:r>
        <w:rPr>
          <w:rFonts w:eastAsiaTheme="minorHAnsi"/>
        </w:rPr>
        <w:t xml:space="preserve"> </w:t>
      </w:r>
      <w:r w:rsidRPr="00AD0107">
        <w:rPr>
          <w:rFonts w:eastAsiaTheme="minorHAnsi"/>
        </w:rPr>
        <w:t>Paper presented at the Federal Reserve Bank of</w:t>
      </w:r>
      <w:r>
        <w:rPr>
          <w:rFonts w:eastAsiaTheme="minorHAnsi"/>
        </w:rPr>
        <w:t xml:space="preserve"> </w:t>
      </w:r>
      <w:r w:rsidRPr="00AD0107">
        <w:rPr>
          <w:rFonts w:eastAsiaTheme="minorHAnsi"/>
        </w:rPr>
        <w:t>Kansas City conference on Financial Stability and</w:t>
      </w:r>
      <w:r>
        <w:rPr>
          <w:rFonts w:eastAsiaTheme="minorHAnsi"/>
        </w:rPr>
        <w:t xml:space="preserve"> </w:t>
      </w:r>
      <w:r w:rsidRPr="00AD0107">
        <w:rPr>
          <w:rFonts w:eastAsiaTheme="minorHAnsi"/>
        </w:rPr>
        <w:t>Macroeconomic Policy, held August 20–22, 2009</w:t>
      </w:r>
      <w:r>
        <w:rPr>
          <w:rFonts w:eastAsiaTheme="minorHAnsi"/>
        </w:rPr>
        <w:t>.</w:t>
      </w:r>
    </w:p>
    <w:p w:rsidR="00FF5A32" w:rsidRDefault="00FF5A32" w:rsidP="006C05F2">
      <w:pPr>
        <w:spacing w:after="240"/>
        <w:ind w:left="720" w:hanging="720"/>
      </w:pPr>
      <w:proofErr w:type="gramStart"/>
      <w:r>
        <w:rPr>
          <w:rFonts w:eastAsiaTheme="minorHAnsi"/>
        </w:rPr>
        <w:t xml:space="preserve">Auerbach, Alan, </w:t>
      </w:r>
      <w:r w:rsidRPr="006C05F2">
        <w:t>and</w:t>
      </w:r>
      <w:r>
        <w:rPr>
          <w:rFonts w:eastAsiaTheme="minorHAnsi"/>
        </w:rPr>
        <w:t xml:space="preserve"> Yuriy Gorodnichenko, 2011.</w:t>
      </w:r>
      <w:proofErr w:type="gramEnd"/>
      <w:r>
        <w:rPr>
          <w:rFonts w:eastAsiaTheme="minorHAnsi"/>
        </w:rPr>
        <w:t xml:space="preserve"> </w:t>
      </w:r>
      <w:r w:rsidR="00872107">
        <w:rPr>
          <w:rFonts w:eastAsiaTheme="minorHAnsi"/>
        </w:rPr>
        <w:t>“</w:t>
      </w:r>
      <w:r>
        <w:t>Measuring the Output Responses to Fiscal Policy,</w:t>
      </w:r>
      <w:r w:rsidR="00872107">
        <w:t>”</w:t>
      </w:r>
      <w:r>
        <w:t xml:space="preserve"> forthcoming in </w:t>
      </w:r>
      <w:r w:rsidRPr="004E451F">
        <w:rPr>
          <w:i/>
        </w:rPr>
        <w:t>A</w:t>
      </w:r>
      <w:r>
        <w:rPr>
          <w:i/>
        </w:rPr>
        <w:t>merican Economic Journal: Economic Policy</w:t>
      </w:r>
      <w:r>
        <w:t>.</w:t>
      </w:r>
    </w:p>
    <w:p w:rsidR="00FF5A32" w:rsidRDefault="00FF5A32" w:rsidP="006C05F2">
      <w:pPr>
        <w:spacing w:after="240"/>
        <w:ind w:left="720" w:hanging="720"/>
        <w:rPr>
          <w:rFonts w:eastAsiaTheme="minorHAnsi"/>
        </w:rPr>
      </w:pPr>
      <w:proofErr w:type="gramStart"/>
      <w:r w:rsidRPr="006C05F2">
        <w:rPr>
          <w:rFonts w:eastAsiaTheme="minorHAnsi"/>
        </w:rPr>
        <w:t xml:space="preserve">Bachmann, </w:t>
      </w:r>
      <w:proofErr w:type="spellStart"/>
      <w:r w:rsidRPr="006C05F2">
        <w:rPr>
          <w:rFonts w:eastAsiaTheme="minorHAnsi"/>
        </w:rPr>
        <w:t>Ruediger</w:t>
      </w:r>
      <w:proofErr w:type="spellEnd"/>
      <w:r w:rsidRPr="006C05F2">
        <w:rPr>
          <w:rFonts w:eastAsiaTheme="minorHAnsi"/>
        </w:rPr>
        <w:t>, and Eric Sims, 2011.</w:t>
      </w:r>
      <w:proofErr w:type="gramEnd"/>
      <w:r w:rsidRPr="006C05F2">
        <w:rPr>
          <w:rFonts w:eastAsiaTheme="minorHAnsi"/>
        </w:rPr>
        <w:t xml:space="preserve"> </w:t>
      </w:r>
      <w:proofErr w:type="gramStart"/>
      <w:r w:rsidR="00872107">
        <w:rPr>
          <w:rFonts w:eastAsiaTheme="minorHAnsi"/>
        </w:rPr>
        <w:t>“</w:t>
      </w:r>
      <w:r w:rsidRPr="006C05F2">
        <w:rPr>
          <w:rFonts w:eastAsiaTheme="minorHAnsi"/>
        </w:rPr>
        <w:t>Confidence and the Transmission of Government Spending Shocks,</w:t>
      </w:r>
      <w:r w:rsidR="00872107">
        <w:rPr>
          <w:rFonts w:eastAsiaTheme="minorHAnsi"/>
        </w:rPr>
        <w:t>”</w:t>
      </w:r>
      <w:r w:rsidRPr="006C05F2">
        <w:rPr>
          <w:rFonts w:eastAsiaTheme="minorHAnsi"/>
        </w:rPr>
        <w:t xml:space="preserve"> manuscript.</w:t>
      </w:r>
      <w:proofErr w:type="gramEnd"/>
      <w:r w:rsidRPr="006C05F2">
        <w:rPr>
          <w:rFonts w:eastAsiaTheme="minorHAnsi"/>
        </w:rPr>
        <w:t xml:space="preserve">   </w:t>
      </w:r>
    </w:p>
    <w:p w:rsidR="00FF5A32" w:rsidRDefault="00FF5A32" w:rsidP="00A20C42">
      <w:pPr>
        <w:spacing w:after="240"/>
        <w:ind w:left="720" w:hanging="720"/>
        <w:rPr>
          <w:rFonts w:eastAsiaTheme="minorHAnsi"/>
        </w:rPr>
      </w:pPr>
      <w:proofErr w:type="spellStart"/>
      <w:proofErr w:type="gramStart"/>
      <w:r w:rsidRPr="00A20C42">
        <w:rPr>
          <w:rFonts w:eastAsiaTheme="minorHAnsi"/>
        </w:rPr>
        <w:t>Chodorow</w:t>
      </w:r>
      <w:proofErr w:type="spellEnd"/>
      <w:r w:rsidRPr="00A20C42">
        <w:rPr>
          <w:rFonts w:eastAsiaTheme="minorHAnsi"/>
        </w:rPr>
        <w:t>-Reich</w:t>
      </w:r>
      <w:r>
        <w:rPr>
          <w:rFonts w:eastAsiaTheme="minorHAnsi"/>
        </w:rPr>
        <w:t>,</w:t>
      </w:r>
      <w:r w:rsidRPr="00A20C42">
        <w:rPr>
          <w:rFonts w:eastAsiaTheme="minorHAnsi"/>
        </w:rPr>
        <w:t xml:space="preserve"> </w:t>
      </w:r>
      <w:r>
        <w:rPr>
          <w:rFonts w:eastAsiaTheme="minorHAnsi"/>
        </w:rPr>
        <w:t xml:space="preserve">Gabriel, </w:t>
      </w:r>
      <w:r w:rsidRPr="00A20C42">
        <w:rPr>
          <w:rFonts w:eastAsiaTheme="minorHAnsi"/>
        </w:rPr>
        <w:t xml:space="preserve">Laura </w:t>
      </w:r>
      <w:proofErr w:type="spellStart"/>
      <w:r w:rsidRPr="00A20C42">
        <w:rPr>
          <w:rFonts w:eastAsiaTheme="minorHAnsi"/>
        </w:rPr>
        <w:t>Feiveson</w:t>
      </w:r>
      <w:proofErr w:type="spellEnd"/>
      <w:r>
        <w:rPr>
          <w:rFonts w:eastAsiaTheme="minorHAnsi"/>
        </w:rPr>
        <w:t>, Z</w:t>
      </w:r>
      <w:r w:rsidRPr="00A20C42">
        <w:rPr>
          <w:rFonts w:eastAsiaTheme="minorHAnsi"/>
        </w:rPr>
        <w:t xml:space="preserve">achary </w:t>
      </w:r>
      <w:proofErr w:type="spellStart"/>
      <w:r w:rsidRPr="00A20C42">
        <w:rPr>
          <w:rFonts w:eastAsiaTheme="minorHAnsi"/>
        </w:rPr>
        <w:t>Liscow</w:t>
      </w:r>
      <w:proofErr w:type="spellEnd"/>
      <w:r>
        <w:rPr>
          <w:rFonts w:eastAsiaTheme="minorHAnsi"/>
        </w:rPr>
        <w:t xml:space="preserve">, and </w:t>
      </w:r>
      <w:r w:rsidRPr="00A20C42">
        <w:rPr>
          <w:rFonts w:eastAsiaTheme="minorHAnsi"/>
        </w:rPr>
        <w:t xml:space="preserve">William </w:t>
      </w:r>
      <w:proofErr w:type="spellStart"/>
      <w:r w:rsidRPr="00A20C42">
        <w:rPr>
          <w:rFonts w:eastAsiaTheme="minorHAnsi"/>
        </w:rPr>
        <w:t>Woolston</w:t>
      </w:r>
      <w:proofErr w:type="spellEnd"/>
      <w:r>
        <w:rPr>
          <w:rFonts w:eastAsiaTheme="minorHAnsi"/>
        </w:rPr>
        <w:t>, 2011.</w:t>
      </w:r>
      <w:proofErr w:type="gramEnd"/>
      <w:r>
        <w:rPr>
          <w:rFonts w:eastAsiaTheme="minorHAnsi"/>
        </w:rPr>
        <w:t xml:space="preserve"> </w:t>
      </w:r>
      <w:r w:rsidR="00872107">
        <w:rPr>
          <w:rFonts w:eastAsiaTheme="minorHAnsi"/>
        </w:rPr>
        <w:t>“</w:t>
      </w:r>
      <w:r w:rsidRPr="00A20C42">
        <w:rPr>
          <w:rFonts w:eastAsiaTheme="minorHAnsi"/>
        </w:rPr>
        <w:t>Does State Fiscal Relief During Recessions Increase Employment?</w:t>
      </w:r>
      <w:r>
        <w:rPr>
          <w:rFonts w:eastAsiaTheme="minorHAnsi"/>
        </w:rPr>
        <w:t xml:space="preserve"> </w:t>
      </w:r>
      <w:proofErr w:type="gramStart"/>
      <w:r w:rsidRPr="00A20C42">
        <w:rPr>
          <w:rFonts w:eastAsiaTheme="minorHAnsi"/>
        </w:rPr>
        <w:t>Evidence from the American Recovery and Reinvestment Act</w:t>
      </w:r>
      <w:r>
        <w:rPr>
          <w:rFonts w:eastAsiaTheme="minorHAnsi"/>
        </w:rPr>
        <w:t>,</w:t>
      </w:r>
      <w:r w:rsidR="00872107">
        <w:rPr>
          <w:rFonts w:eastAsiaTheme="minorHAnsi"/>
        </w:rPr>
        <w:t>”</w:t>
      </w:r>
      <w:r>
        <w:rPr>
          <w:rFonts w:eastAsiaTheme="minorHAnsi"/>
        </w:rPr>
        <w:t xml:space="preserve"> manuscript.</w:t>
      </w:r>
      <w:proofErr w:type="gramEnd"/>
      <w:r>
        <w:rPr>
          <w:rFonts w:eastAsiaTheme="minorHAnsi"/>
        </w:rPr>
        <w:t xml:space="preserve"> </w:t>
      </w:r>
    </w:p>
    <w:p w:rsidR="00FF5A32" w:rsidRPr="00386E35" w:rsidRDefault="00FF5A32" w:rsidP="00FF5A32">
      <w:pPr>
        <w:spacing w:after="240"/>
        <w:ind w:left="720" w:hanging="720"/>
      </w:pPr>
      <w:proofErr w:type="gramStart"/>
      <w:r w:rsidRPr="00386E35">
        <w:t>Christiano, Lawrence, Martin Eichenbaum, and Sergio Rebelo.</w:t>
      </w:r>
      <w:proofErr w:type="gramEnd"/>
      <w:r w:rsidRPr="00386E35">
        <w:t xml:space="preserve"> 2009. </w:t>
      </w:r>
      <w:r w:rsidR="00872107">
        <w:t>“</w:t>
      </w:r>
      <w:r w:rsidRPr="00386E35">
        <w:t>When is the government spending multiplier large?</w:t>
      </w:r>
      <w:r w:rsidR="00872107">
        <w:t>”</w:t>
      </w:r>
      <w:r w:rsidRPr="00386E35">
        <w:t xml:space="preserve"> </w:t>
      </w:r>
      <w:proofErr w:type="gramStart"/>
      <w:r w:rsidRPr="00386E35">
        <w:t>NBER Working Paper 15394.</w:t>
      </w:r>
      <w:proofErr w:type="gramEnd"/>
    </w:p>
    <w:p w:rsidR="00FF5A32" w:rsidRDefault="00FF5A32" w:rsidP="006C05F2">
      <w:pPr>
        <w:spacing w:after="240"/>
        <w:ind w:left="720" w:hanging="720"/>
        <w:rPr>
          <w:rFonts w:eastAsiaTheme="minorHAnsi"/>
        </w:rPr>
      </w:pPr>
      <w:r w:rsidRPr="00BA47A2">
        <w:rPr>
          <w:rFonts w:eastAsiaTheme="minorHAnsi"/>
        </w:rPr>
        <w:t xml:space="preserve">Driscoll, J.C., A.C. </w:t>
      </w:r>
      <w:proofErr w:type="spellStart"/>
      <w:r w:rsidRPr="00BA47A2">
        <w:rPr>
          <w:rFonts w:eastAsiaTheme="minorHAnsi"/>
        </w:rPr>
        <w:t>Kraay</w:t>
      </w:r>
      <w:proofErr w:type="spellEnd"/>
      <w:r w:rsidRPr="00BA47A2">
        <w:rPr>
          <w:rFonts w:eastAsiaTheme="minorHAnsi"/>
        </w:rPr>
        <w:t xml:space="preserve">, 1998. </w:t>
      </w:r>
      <w:r w:rsidR="00872107">
        <w:rPr>
          <w:rFonts w:eastAsiaTheme="minorHAnsi"/>
        </w:rPr>
        <w:t>“</w:t>
      </w:r>
      <w:r w:rsidRPr="00BA47A2">
        <w:rPr>
          <w:rFonts w:eastAsiaTheme="minorHAnsi"/>
        </w:rPr>
        <w:t>Consistent Covariance Matrix Estimation With Spatially Dependent Panel Data,</w:t>
      </w:r>
      <w:r w:rsidR="00872107">
        <w:rPr>
          <w:rFonts w:eastAsiaTheme="minorHAnsi"/>
        </w:rPr>
        <w:t>”</w:t>
      </w:r>
      <w:r w:rsidRPr="00BA47A2">
        <w:rPr>
          <w:rFonts w:eastAsiaTheme="minorHAnsi"/>
        </w:rPr>
        <w:t xml:space="preserve"> </w:t>
      </w:r>
      <w:r w:rsidRPr="00BA47A2">
        <w:rPr>
          <w:rFonts w:eastAsiaTheme="minorHAnsi"/>
          <w:i/>
          <w:iCs/>
        </w:rPr>
        <w:t xml:space="preserve">Review of Economics and Statistics </w:t>
      </w:r>
      <w:r w:rsidRPr="00BA47A2">
        <w:rPr>
          <w:rFonts w:eastAsiaTheme="minorHAnsi"/>
        </w:rPr>
        <w:t>80(4), 549-560.</w:t>
      </w:r>
    </w:p>
    <w:p w:rsidR="00FF5A32" w:rsidRDefault="00FF5A32" w:rsidP="00757968">
      <w:pPr>
        <w:spacing w:after="240"/>
        <w:ind w:left="720" w:hanging="720"/>
      </w:pPr>
      <w:proofErr w:type="spellStart"/>
      <w:proofErr w:type="gramStart"/>
      <w:r>
        <w:t>Gali</w:t>
      </w:r>
      <w:proofErr w:type="spellEnd"/>
      <w:r>
        <w:t xml:space="preserve">, </w:t>
      </w:r>
      <w:proofErr w:type="spellStart"/>
      <w:r>
        <w:t>Jordi</w:t>
      </w:r>
      <w:proofErr w:type="spellEnd"/>
      <w:r>
        <w:t>, David Lopez-</w:t>
      </w:r>
      <w:proofErr w:type="spellStart"/>
      <w:r>
        <w:t>Salido</w:t>
      </w:r>
      <w:proofErr w:type="spellEnd"/>
      <w:r>
        <w:t xml:space="preserve">, and Javier </w:t>
      </w:r>
      <w:proofErr w:type="spellStart"/>
      <w:r>
        <w:t>Valles</w:t>
      </w:r>
      <w:proofErr w:type="spellEnd"/>
      <w:r>
        <w:t>, 2007.</w:t>
      </w:r>
      <w:proofErr w:type="gramEnd"/>
      <w:r>
        <w:t xml:space="preserve"> </w:t>
      </w:r>
      <w:r w:rsidR="00872107">
        <w:t>“</w:t>
      </w:r>
      <w:r>
        <w:t>Understanding the Effects of Government Spending on Consumption,</w:t>
      </w:r>
      <w:r w:rsidR="00872107">
        <w:t>”</w:t>
      </w:r>
      <w:r>
        <w:t xml:space="preserve"> Journal of the European Economic Association, 5, 227–270.</w:t>
      </w:r>
    </w:p>
    <w:p w:rsidR="00FF5A32" w:rsidRDefault="00FF5A32" w:rsidP="006C05F2">
      <w:pPr>
        <w:spacing w:after="240"/>
        <w:ind w:left="720" w:hanging="720"/>
        <w:rPr>
          <w:rFonts w:eastAsiaTheme="minorHAnsi"/>
        </w:rPr>
      </w:pPr>
      <w:proofErr w:type="spellStart"/>
      <w:r>
        <w:rPr>
          <w:rFonts w:eastAsiaTheme="minorHAnsi"/>
        </w:rPr>
        <w:t>Jorda</w:t>
      </w:r>
      <w:proofErr w:type="spellEnd"/>
      <w:r>
        <w:rPr>
          <w:rFonts w:eastAsiaTheme="minorHAnsi"/>
        </w:rPr>
        <w:t xml:space="preserve">, Oscar, 2005. </w:t>
      </w:r>
      <w:r w:rsidR="00872107">
        <w:rPr>
          <w:rFonts w:eastAsiaTheme="minorHAnsi"/>
        </w:rPr>
        <w:t>“</w:t>
      </w:r>
      <w:r w:rsidRPr="004E451F">
        <w:rPr>
          <w:rFonts w:eastAsiaTheme="minorHAnsi"/>
        </w:rPr>
        <w:t>Estimation and Inference of Impulse Responses by Local Project</w:t>
      </w:r>
      <w:r>
        <w:rPr>
          <w:rFonts w:eastAsiaTheme="minorHAnsi"/>
        </w:rPr>
        <w:t>ions,</w:t>
      </w:r>
      <w:r w:rsidR="00872107">
        <w:rPr>
          <w:rFonts w:eastAsiaTheme="minorHAnsi"/>
        </w:rPr>
        <w:t>”</w:t>
      </w:r>
      <w:r>
        <w:rPr>
          <w:rFonts w:eastAsiaTheme="minorHAnsi"/>
        </w:rPr>
        <w:t xml:space="preserve"> </w:t>
      </w:r>
      <w:r w:rsidRPr="004E451F">
        <w:rPr>
          <w:rFonts w:eastAsiaTheme="minorHAnsi"/>
          <w:i/>
        </w:rPr>
        <w:t>American Economic Review</w:t>
      </w:r>
      <w:r w:rsidRPr="004E451F">
        <w:rPr>
          <w:rFonts w:eastAsiaTheme="minorHAnsi"/>
        </w:rPr>
        <w:t xml:space="preserve"> 95(1), 161-182.</w:t>
      </w:r>
    </w:p>
    <w:p w:rsidR="00FF5A32" w:rsidRDefault="00FF5A32" w:rsidP="006C05F2">
      <w:pPr>
        <w:spacing w:after="240"/>
        <w:ind w:left="720" w:hanging="720"/>
        <w:rPr>
          <w:rFonts w:eastAsiaTheme="minorHAnsi"/>
        </w:rPr>
      </w:pPr>
      <w:proofErr w:type="spellStart"/>
      <w:r w:rsidRPr="00BA47A2">
        <w:rPr>
          <w:rFonts w:eastAsiaTheme="minorHAnsi"/>
        </w:rPr>
        <w:t>Lenain</w:t>
      </w:r>
      <w:proofErr w:type="spellEnd"/>
      <w:r w:rsidRPr="00BA47A2">
        <w:rPr>
          <w:rFonts w:eastAsiaTheme="minorHAnsi"/>
        </w:rPr>
        <w:t xml:space="preserve">, Patrick, 2002. </w:t>
      </w:r>
      <w:r w:rsidR="00872107">
        <w:rPr>
          <w:rFonts w:eastAsiaTheme="minorHAnsi"/>
        </w:rPr>
        <w:t>“</w:t>
      </w:r>
      <w:r w:rsidRPr="00BA47A2">
        <w:rPr>
          <w:rFonts w:eastAsiaTheme="minorHAnsi"/>
        </w:rPr>
        <w:t>What is the track record of OECD Economic Projections?</w:t>
      </w:r>
      <w:r w:rsidR="00872107">
        <w:rPr>
          <w:rFonts w:eastAsiaTheme="minorHAnsi"/>
        </w:rPr>
        <w:t>”</w:t>
      </w:r>
      <w:r w:rsidRPr="00BA47A2">
        <w:rPr>
          <w:rFonts w:eastAsiaTheme="minorHAnsi"/>
        </w:rPr>
        <w:t xml:space="preserve"> </w:t>
      </w:r>
      <w:proofErr w:type="gramStart"/>
      <w:r w:rsidRPr="00BA47A2">
        <w:rPr>
          <w:rFonts w:eastAsiaTheme="minorHAnsi"/>
        </w:rPr>
        <w:t>OECD.</w:t>
      </w:r>
      <w:proofErr w:type="gramEnd"/>
      <w:r w:rsidRPr="00BA47A2">
        <w:rPr>
          <w:rFonts w:eastAsiaTheme="minorHAnsi"/>
        </w:rPr>
        <w:t xml:space="preserve"> </w:t>
      </w:r>
    </w:p>
    <w:p w:rsidR="00FF5A32" w:rsidRPr="00386E35" w:rsidRDefault="00FF5A32" w:rsidP="009D3750">
      <w:pPr>
        <w:spacing w:after="240"/>
        <w:ind w:left="720" w:hanging="720"/>
      </w:pPr>
      <w:r w:rsidRPr="00386E35">
        <w:t>Ramey, Valerie A. 20</w:t>
      </w:r>
      <w:r>
        <w:t>11</w:t>
      </w:r>
      <w:r w:rsidRPr="00386E35">
        <w:t xml:space="preserve">. </w:t>
      </w:r>
      <w:r w:rsidR="00872107">
        <w:t>“</w:t>
      </w:r>
      <w:r w:rsidRPr="00386E35">
        <w:t>Identifying Government Spending</w:t>
      </w:r>
      <w:r>
        <w:t xml:space="preserve"> Shocks: It’s </w:t>
      </w:r>
      <w:proofErr w:type="gramStart"/>
      <w:r>
        <w:t>All</w:t>
      </w:r>
      <w:proofErr w:type="gramEnd"/>
      <w:r>
        <w:t xml:space="preserve"> in the Timing,</w:t>
      </w:r>
      <w:r w:rsidR="00872107">
        <w:t>”</w:t>
      </w:r>
      <w:r w:rsidRPr="00386E35">
        <w:t xml:space="preserve"> </w:t>
      </w:r>
      <w:r w:rsidRPr="00BA73E5">
        <w:rPr>
          <w:i/>
        </w:rPr>
        <w:t>Quarterly Journal of Economics</w:t>
      </w:r>
      <w:r>
        <w:t xml:space="preserve"> 126(1): 1-50</w:t>
      </w:r>
      <w:r w:rsidRPr="00386E35">
        <w:t>.</w:t>
      </w:r>
    </w:p>
    <w:p w:rsidR="00FF5A32" w:rsidRPr="00A20C42" w:rsidRDefault="00FF5A32" w:rsidP="00055B0D">
      <w:pPr>
        <w:spacing w:after="240"/>
        <w:ind w:left="720" w:hanging="720"/>
        <w:rPr>
          <w:rFonts w:eastAsiaTheme="minorHAnsi"/>
        </w:rPr>
      </w:pPr>
      <w:proofErr w:type="spellStart"/>
      <w:r w:rsidRPr="00055B0D">
        <w:rPr>
          <w:rFonts w:eastAsiaTheme="minorHAnsi"/>
        </w:rPr>
        <w:t>Shoag</w:t>
      </w:r>
      <w:proofErr w:type="spellEnd"/>
      <w:r w:rsidRPr="00055B0D">
        <w:rPr>
          <w:rFonts w:eastAsiaTheme="minorHAnsi"/>
        </w:rPr>
        <w:t xml:space="preserve">, Daniel (2010), </w:t>
      </w:r>
      <w:r w:rsidR="00872107">
        <w:rPr>
          <w:rFonts w:eastAsiaTheme="minorHAnsi"/>
        </w:rPr>
        <w:t>“</w:t>
      </w:r>
      <w:r w:rsidRPr="00055B0D">
        <w:rPr>
          <w:rFonts w:eastAsiaTheme="minorHAnsi"/>
        </w:rPr>
        <w:t>The Impact of Government Spending Shocks: Evidence on the Multiplier</w:t>
      </w:r>
      <w:r>
        <w:rPr>
          <w:rFonts w:eastAsiaTheme="minorHAnsi"/>
        </w:rPr>
        <w:t xml:space="preserve"> </w:t>
      </w:r>
      <w:r w:rsidRPr="00055B0D">
        <w:rPr>
          <w:rFonts w:eastAsiaTheme="minorHAnsi"/>
        </w:rPr>
        <w:t>from State Pension Plan Returns,</w:t>
      </w:r>
      <w:r w:rsidR="00872107">
        <w:rPr>
          <w:rFonts w:eastAsiaTheme="minorHAnsi"/>
        </w:rPr>
        <w:t>”</w:t>
      </w:r>
      <w:r w:rsidRPr="00055B0D">
        <w:rPr>
          <w:rFonts w:eastAsiaTheme="minorHAnsi"/>
        </w:rPr>
        <w:t xml:space="preserve"> manuscript.</w:t>
      </w:r>
    </w:p>
    <w:p w:rsidR="00FF5A32" w:rsidRDefault="00FF5A32" w:rsidP="006C05F2">
      <w:pPr>
        <w:spacing w:after="240"/>
        <w:ind w:left="720" w:hanging="720"/>
        <w:rPr>
          <w:rFonts w:eastAsiaTheme="minorHAnsi"/>
        </w:rPr>
      </w:pPr>
      <w:r w:rsidRPr="00BA47A2">
        <w:rPr>
          <w:rFonts w:eastAsiaTheme="minorHAnsi"/>
        </w:rPr>
        <w:t xml:space="preserve">Vogel, Lukas, 2007. </w:t>
      </w:r>
      <w:r w:rsidR="00872107">
        <w:rPr>
          <w:rFonts w:eastAsiaTheme="minorHAnsi"/>
        </w:rPr>
        <w:t>“</w:t>
      </w:r>
      <w:r w:rsidRPr="00BA47A2">
        <w:rPr>
          <w:rFonts w:eastAsiaTheme="minorHAnsi"/>
        </w:rPr>
        <w:t>How Do the OECD Growth Projections for the G7 Economies Perform? A Post-Mortem,</w:t>
      </w:r>
      <w:r w:rsidR="00872107">
        <w:rPr>
          <w:rFonts w:eastAsiaTheme="minorHAnsi"/>
        </w:rPr>
        <w:t>”</w:t>
      </w:r>
      <w:r w:rsidRPr="00BA47A2">
        <w:rPr>
          <w:rFonts w:eastAsiaTheme="minorHAnsi"/>
        </w:rPr>
        <w:t xml:space="preserve"> OECD Working Paper No. 573. </w:t>
      </w:r>
    </w:p>
    <w:p w:rsidR="00BC5C09" w:rsidRDefault="00BC5C09" w:rsidP="00BC5C09">
      <w:pPr>
        <w:spacing w:after="240"/>
        <w:ind w:left="720" w:hanging="720"/>
      </w:pPr>
      <w:bookmarkStart w:id="4" w:name="papers"/>
      <w:r>
        <w:lastRenderedPageBreak/>
        <w:t xml:space="preserve">Wieland, Johannes, 2011. </w:t>
      </w:r>
      <w:proofErr w:type="gramStart"/>
      <w:r w:rsidR="00872107">
        <w:t>“</w:t>
      </w:r>
      <w:r w:rsidRPr="00FF5A32">
        <w:t>Fiscal Multipliers in the Liquidity Trap: In</w:t>
      </w:r>
      <w:r>
        <w:t>ternational Theory and Evidence,</w:t>
      </w:r>
      <w:r w:rsidR="00872107">
        <w:t>”</w:t>
      </w:r>
      <w:r>
        <w:t xml:space="preserve"> manuscript.</w:t>
      </w:r>
      <w:proofErr w:type="gramEnd"/>
      <w:r>
        <w:t xml:space="preserve"> </w:t>
      </w:r>
    </w:p>
    <w:p w:rsidR="00FF5A32" w:rsidRDefault="00FF5A32" w:rsidP="006C05F2">
      <w:pPr>
        <w:spacing w:after="240"/>
        <w:ind w:left="720" w:hanging="720"/>
      </w:pPr>
      <w:proofErr w:type="gramStart"/>
      <w:r w:rsidRPr="00A20C42">
        <w:t>Wilson ,</w:t>
      </w:r>
      <w:proofErr w:type="gramEnd"/>
      <w:r w:rsidRPr="00A20C42">
        <w:t xml:space="preserve"> Daniel J., 2010. </w:t>
      </w:r>
      <w:proofErr w:type="gramStart"/>
      <w:r w:rsidR="00872107">
        <w:t>“</w:t>
      </w:r>
      <w:bookmarkEnd w:id="4"/>
      <w:r w:rsidR="00383617" w:rsidRPr="00383617">
        <w:rPr>
          <w:bCs/>
        </w:rPr>
        <w:t>Fiscal spending multipliers: evidence from the 2009 American Recovery and Reinvestment Act</w:t>
      </w:r>
      <w:r w:rsidRPr="00A20C42">
        <w:t>,</w:t>
      </w:r>
      <w:r w:rsidR="00872107">
        <w:t>”</w:t>
      </w:r>
      <w:r w:rsidRPr="00A20C42">
        <w:t xml:space="preserve"> </w:t>
      </w:r>
      <w:r w:rsidR="00383617" w:rsidRPr="00383617">
        <w:t>Working Paper Series</w:t>
      </w:r>
      <w:r w:rsidRPr="00A20C42">
        <w:t xml:space="preserve"> 2010-17, Federal Reserve Bank of San Francisco.</w:t>
      </w:r>
      <w:proofErr w:type="gramEnd"/>
    </w:p>
    <w:p w:rsidR="00FF5A32" w:rsidRDefault="00FF5A32" w:rsidP="00FF5A32">
      <w:pPr>
        <w:spacing w:after="240"/>
        <w:ind w:left="720" w:hanging="720"/>
      </w:pPr>
      <w:r w:rsidRPr="00386E35">
        <w:t>Woodford, Michael. 201</w:t>
      </w:r>
      <w:r>
        <w:t>1</w:t>
      </w:r>
      <w:r w:rsidRPr="00386E35">
        <w:t xml:space="preserve">. </w:t>
      </w:r>
      <w:r w:rsidR="00872107">
        <w:t>“</w:t>
      </w:r>
      <w:r w:rsidRPr="00386E35">
        <w:t>Simple Analytics of the Government Expenditure Multiplier</w:t>
      </w:r>
      <w:r>
        <w:t>.</w:t>
      </w:r>
      <w:r w:rsidR="00872107">
        <w:t>”</w:t>
      </w:r>
      <w:r w:rsidRPr="00386E35">
        <w:t xml:space="preserve"> </w:t>
      </w:r>
      <w:r w:rsidRPr="00EB2979">
        <w:rPr>
          <w:i/>
        </w:rPr>
        <w:t>American Economic Journal: Macroeconomics</w:t>
      </w:r>
      <w:r>
        <w:t xml:space="preserve"> 3(1): 1-</w:t>
      </w:r>
      <w:r w:rsidRPr="00E72DDC">
        <w:t xml:space="preserve">35. </w:t>
      </w:r>
    </w:p>
    <w:p w:rsidR="00FF5A32" w:rsidRDefault="00FF5A32" w:rsidP="00757968">
      <w:pPr>
        <w:spacing w:after="240"/>
        <w:ind w:left="720" w:hanging="720"/>
      </w:pPr>
    </w:p>
    <w:p w:rsidR="00DD6CBA" w:rsidRDefault="00DD6CBA" w:rsidP="00DD6CBA">
      <w:pPr>
        <w:autoSpaceDE w:val="0"/>
        <w:autoSpaceDN w:val="0"/>
        <w:adjustRightInd w:val="0"/>
        <w:ind w:left="720" w:hanging="720"/>
      </w:pPr>
    </w:p>
    <w:p w:rsidR="00FF7015" w:rsidRPr="008A4874" w:rsidRDefault="00FF7015" w:rsidP="00AC45A0">
      <w:pPr>
        <w:spacing w:after="200" w:line="276" w:lineRule="auto"/>
        <w:jc w:val="center"/>
      </w:pPr>
      <w:r>
        <w:br w:type="page"/>
      </w:r>
      <w:bookmarkStart w:id="5" w:name="_Ref289772537"/>
      <w:proofErr w:type="gramStart"/>
      <w:r w:rsidRPr="008A4874">
        <w:lastRenderedPageBreak/>
        <w:t xml:space="preserve">Figure </w:t>
      </w:r>
      <w:r w:rsidR="0062653A" w:rsidRPr="008A4874">
        <w:fldChar w:fldCharType="begin"/>
      </w:r>
      <w:r w:rsidRPr="008A4874">
        <w:instrText xml:space="preserve"> SEQ Figure \* ARABIC </w:instrText>
      </w:r>
      <w:r w:rsidR="0062653A" w:rsidRPr="008A4874">
        <w:fldChar w:fldCharType="separate"/>
      </w:r>
      <w:r w:rsidR="00E724CE">
        <w:rPr>
          <w:noProof/>
        </w:rPr>
        <w:t>1</w:t>
      </w:r>
      <w:r w:rsidR="0062653A" w:rsidRPr="008A4874">
        <w:fldChar w:fldCharType="end"/>
      </w:r>
      <w:bookmarkEnd w:id="5"/>
      <w:r w:rsidRPr="008A4874">
        <w:t>.</w:t>
      </w:r>
      <w:proofErr w:type="gramEnd"/>
      <w:r w:rsidRPr="008A4874">
        <w:t xml:space="preserve"> Comparison of impulse responses from VAR and direct </w:t>
      </w:r>
      <w:r w:rsidR="00D51C20" w:rsidRPr="008A4874">
        <w:t>projection</w:t>
      </w:r>
    </w:p>
    <w:p w:rsidR="00FF7015" w:rsidRDefault="00FF7015" w:rsidP="003135DA">
      <w:pPr>
        <w:jc w:val="center"/>
      </w:pPr>
      <w:r>
        <w:t>Panel A: Full sample</w:t>
      </w:r>
      <w:r w:rsidR="00D717D3">
        <w:t>, 1960-2010.</w:t>
      </w:r>
    </w:p>
    <w:p w:rsidR="00DD6CBA" w:rsidRDefault="00FF7015" w:rsidP="003135DA">
      <w:pPr>
        <w:jc w:val="center"/>
      </w:pPr>
      <w:r w:rsidRPr="00FF7015">
        <w:rPr>
          <w:noProof/>
        </w:rPr>
        <w:drawing>
          <wp:inline distT="0" distB="0" distL="0" distR="0">
            <wp:extent cx="4591499" cy="3356979"/>
            <wp:effectExtent l="0" t="0" r="0" b="0"/>
            <wp:docPr id="2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4591499" cy="3356979"/>
                    </a:xfrm>
                    <a:prstGeom prst="rect">
                      <a:avLst/>
                    </a:prstGeom>
                    <a:noFill/>
                    <a:ln w="9525">
                      <a:noFill/>
                      <a:miter lim="800000"/>
                      <a:headEnd/>
                      <a:tailEnd/>
                    </a:ln>
                  </pic:spPr>
                </pic:pic>
              </a:graphicData>
            </a:graphic>
          </wp:inline>
        </w:drawing>
      </w:r>
    </w:p>
    <w:p w:rsidR="00FF7015" w:rsidRDefault="00FF7015" w:rsidP="003135DA">
      <w:pPr>
        <w:jc w:val="center"/>
      </w:pPr>
      <w:r>
        <w:t>Panel B: Sample for which OECD forecasts are available</w:t>
      </w:r>
      <w:r w:rsidR="00D717D3">
        <w:t>, 1985-2010.</w:t>
      </w:r>
    </w:p>
    <w:p w:rsidR="00FF7015" w:rsidRDefault="00FF7015" w:rsidP="003135DA">
      <w:pPr>
        <w:jc w:val="center"/>
      </w:pPr>
      <w:r w:rsidRPr="00FF7015">
        <w:rPr>
          <w:noProof/>
        </w:rPr>
        <w:drawing>
          <wp:inline distT="0" distB="0" distL="0" distR="0">
            <wp:extent cx="4591499" cy="33569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591499" cy="3356979"/>
                    </a:xfrm>
                    <a:prstGeom prst="rect">
                      <a:avLst/>
                    </a:prstGeom>
                    <a:noFill/>
                    <a:ln w="9525">
                      <a:noFill/>
                      <a:miter lim="800000"/>
                      <a:headEnd/>
                      <a:tailEnd/>
                    </a:ln>
                  </pic:spPr>
                </pic:pic>
              </a:graphicData>
            </a:graphic>
          </wp:inline>
        </w:drawing>
      </w:r>
    </w:p>
    <w:p w:rsidR="00481A9F" w:rsidRDefault="00481A9F">
      <w:pPr>
        <w:spacing w:after="200" w:line="276" w:lineRule="auto"/>
      </w:pPr>
      <w:r>
        <w:br w:type="page"/>
      </w:r>
    </w:p>
    <w:p w:rsidR="00481A9F" w:rsidRPr="008A4874" w:rsidRDefault="00481A9F" w:rsidP="003135DA">
      <w:pPr>
        <w:pStyle w:val="Caption"/>
        <w:keepNext/>
        <w:jc w:val="center"/>
        <w:rPr>
          <w:sz w:val="24"/>
          <w:szCs w:val="24"/>
        </w:rPr>
      </w:pPr>
      <w:bookmarkStart w:id="6" w:name="_Ref289777492"/>
      <w:proofErr w:type="gramStart"/>
      <w:r w:rsidRPr="008A4874">
        <w:rPr>
          <w:sz w:val="24"/>
          <w:szCs w:val="24"/>
        </w:rPr>
        <w:lastRenderedPageBreak/>
        <w:t xml:space="preserve">Figure </w:t>
      </w:r>
      <w:r w:rsidR="0062653A" w:rsidRPr="008A4874">
        <w:rPr>
          <w:sz w:val="24"/>
          <w:szCs w:val="24"/>
        </w:rPr>
        <w:fldChar w:fldCharType="begin"/>
      </w:r>
      <w:r w:rsidRPr="008A4874">
        <w:rPr>
          <w:sz w:val="24"/>
          <w:szCs w:val="24"/>
        </w:rPr>
        <w:instrText xml:space="preserve"> SEQ Figure \* ARABIC </w:instrText>
      </w:r>
      <w:r w:rsidR="0062653A" w:rsidRPr="008A4874">
        <w:rPr>
          <w:sz w:val="24"/>
          <w:szCs w:val="24"/>
        </w:rPr>
        <w:fldChar w:fldCharType="separate"/>
      </w:r>
      <w:r w:rsidR="00E724CE">
        <w:rPr>
          <w:noProof/>
          <w:sz w:val="24"/>
          <w:szCs w:val="24"/>
        </w:rPr>
        <w:t>2</w:t>
      </w:r>
      <w:r w:rsidR="0062653A" w:rsidRPr="008A4874">
        <w:rPr>
          <w:sz w:val="24"/>
          <w:szCs w:val="24"/>
        </w:rPr>
        <w:fldChar w:fldCharType="end"/>
      </w:r>
      <w:bookmarkEnd w:id="6"/>
      <w:r w:rsidRPr="008A4874">
        <w:rPr>
          <w:sz w:val="24"/>
          <w:szCs w:val="24"/>
        </w:rPr>
        <w:t>.</w:t>
      </w:r>
      <w:proofErr w:type="gramEnd"/>
      <w:r w:rsidRPr="008A4874">
        <w:rPr>
          <w:sz w:val="24"/>
          <w:szCs w:val="24"/>
        </w:rPr>
        <w:t xml:space="preserve"> Predictability of VAR shocks to government spending</w:t>
      </w:r>
    </w:p>
    <w:p w:rsidR="00481A9F" w:rsidRDefault="00481A9F" w:rsidP="003135DA">
      <w:pPr>
        <w:jc w:val="center"/>
      </w:pPr>
      <w:r w:rsidRPr="00481A9F">
        <w:rPr>
          <w:noProof/>
        </w:rPr>
        <w:drawing>
          <wp:inline distT="0" distB="0" distL="0" distR="0">
            <wp:extent cx="5105400" cy="3733800"/>
            <wp:effectExtent l="0" t="0" r="0" b="0"/>
            <wp:docPr id="3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5105400" cy="3733800"/>
                    </a:xfrm>
                    <a:prstGeom prst="rect">
                      <a:avLst/>
                    </a:prstGeom>
                    <a:noFill/>
                    <a:ln w="9525">
                      <a:noFill/>
                      <a:miter lim="800000"/>
                      <a:headEnd/>
                      <a:tailEnd/>
                    </a:ln>
                  </pic:spPr>
                </pic:pic>
              </a:graphicData>
            </a:graphic>
          </wp:inline>
        </w:drawing>
      </w:r>
    </w:p>
    <w:p w:rsidR="00484EF4" w:rsidRDefault="00484EF4" w:rsidP="003135DA">
      <w:pPr>
        <w:jc w:val="center"/>
        <w:rPr>
          <w:rFonts w:eastAsiaTheme="minorEastAsia"/>
        </w:rPr>
      </w:pPr>
      <w:r>
        <w:t xml:space="preserve">Note: </w:t>
      </w:r>
      <w:r>
        <w:rPr>
          <w:rFonts w:eastAsiaTheme="minorEastAsia"/>
        </w:rPr>
        <w:t>Correlation is 0.36</w:t>
      </w:r>
    </w:p>
    <w:p w:rsidR="00484EF4" w:rsidRDefault="00484EF4">
      <w:pPr>
        <w:spacing w:after="200" w:line="276" w:lineRule="auto"/>
        <w:rPr>
          <w:rFonts w:eastAsiaTheme="minorEastAsia"/>
        </w:rPr>
      </w:pPr>
      <w:r>
        <w:rPr>
          <w:rFonts w:eastAsiaTheme="minorEastAsia"/>
        </w:rPr>
        <w:br w:type="page"/>
      </w:r>
    </w:p>
    <w:p w:rsidR="00484EF4" w:rsidRPr="008A4874" w:rsidRDefault="00484EF4" w:rsidP="003135DA">
      <w:pPr>
        <w:pStyle w:val="Caption"/>
        <w:keepNext/>
        <w:spacing w:after="0"/>
        <w:jc w:val="center"/>
        <w:rPr>
          <w:sz w:val="24"/>
          <w:szCs w:val="24"/>
        </w:rPr>
      </w:pPr>
      <w:proofErr w:type="gramStart"/>
      <w:r w:rsidRPr="008A4874">
        <w:rPr>
          <w:sz w:val="24"/>
          <w:szCs w:val="24"/>
        </w:rPr>
        <w:lastRenderedPageBreak/>
        <w:t xml:space="preserve">Figure </w:t>
      </w:r>
      <w:r w:rsidR="0062653A" w:rsidRPr="008A4874">
        <w:rPr>
          <w:sz w:val="24"/>
          <w:szCs w:val="24"/>
        </w:rPr>
        <w:fldChar w:fldCharType="begin"/>
      </w:r>
      <w:r w:rsidR="00315846" w:rsidRPr="008A4874">
        <w:rPr>
          <w:sz w:val="24"/>
          <w:szCs w:val="24"/>
        </w:rPr>
        <w:instrText xml:space="preserve"> SEQ Figure \* ARABIC </w:instrText>
      </w:r>
      <w:r w:rsidR="0062653A" w:rsidRPr="008A4874">
        <w:rPr>
          <w:sz w:val="24"/>
          <w:szCs w:val="24"/>
        </w:rPr>
        <w:fldChar w:fldCharType="separate"/>
      </w:r>
      <w:r w:rsidR="00E724CE">
        <w:rPr>
          <w:noProof/>
          <w:sz w:val="24"/>
          <w:szCs w:val="24"/>
        </w:rPr>
        <w:t>3</w:t>
      </w:r>
      <w:r w:rsidR="0062653A" w:rsidRPr="008A4874">
        <w:rPr>
          <w:sz w:val="24"/>
          <w:szCs w:val="24"/>
        </w:rPr>
        <w:fldChar w:fldCharType="end"/>
      </w:r>
      <w:r w:rsidRPr="008A4874">
        <w:rPr>
          <w:sz w:val="24"/>
          <w:szCs w:val="24"/>
        </w:rPr>
        <w:t>.</w:t>
      </w:r>
      <w:proofErr w:type="gramEnd"/>
      <w:r w:rsidRPr="008A4874">
        <w:rPr>
          <w:sz w:val="24"/>
          <w:szCs w:val="24"/>
        </w:rPr>
        <w:t xml:space="preserve"> State-dependent</w:t>
      </w:r>
      <w:r w:rsidR="003135DA">
        <w:rPr>
          <w:sz w:val="24"/>
          <w:szCs w:val="24"/>
        </w:rPr>
        <w:t xml:space="preserve"> vs. </w:t>
      </w:r>
      <w:proofErr w:type="gramStart"/>
      <w:r w:rsidR="003135DA">
        <w:rPr>
          <w:sz w:val="24"/>
          <w:szCs w:val="24"/>
        </w:rPr>
        <w:t>Linear</w:t>
      </w:r>
      <w:proofErr w:type="gramEnd"/>
      <w:r w:rsidRPr="008A4874">
        <w:rPr>
          <w:sz w:val="24"/>
          <w:szCs w:val="24"/>
        </w:rPr>
        <w:t xml:space="preserve"> responses</w:t>
      </w:r>
    </w:p>
    <w:p w:rsidR="008A4874" w:rsidRDefault="008A4874" w:rsidP="003135DA">
      <w:pPr>
        <w:pStyle w:val="Caption"/>
        <w:keepNext/>
        <w:spacing w:before="120" w:after="0"/>
        <w:jc w:val="center"/>
      </w:pPr>
      <w:bookmarkStart w:id="7" w:name="_Ref289807725"/>
      <w:r>
        <w:t xml:space="preserve">Panel </w:t>
      </w:r>
      <w:fldSimple w:instr=" SEQ Panel \* ALPHABETIC ">
        <w:r w:rsidR="00E724CE">
          <w:rPr>
            <w:noProof/>
          </w:rPr>
          <w:t>A</w:t>
        </w:r>
      </w:fldSimple>
      <w:bookmarkEnd w:id="7"/>
      <w:r>
        <w:t>. Real GDP</w:t>
      </w:r>
    </w:p>
    <w:p w:rsidR="00484EF4" w:rsidRDefault="00AD7D17" w:rsidP="003135DA">
      <w:pPr>
        <w:jc w:val="center"/>
        <w:rPr>
          <w:rFonts w:eastAsiaTheme="minorEastAsia"/>
        </w:rPr>
      </w:pPr>
      <w:r>
        <w:rPr>
          <w:rFonts w:eastAsiaTheme="minorEastAsia"/>
          <w:noProof/>
        </w:rPr>
        <w:drawing>
          <wp:inline distT="0" distB="0" distL="0" distR="0">
            <wp:extent cx="5097780" cy="3726180"/>
            <wp:effectExtent l="0" t="0" r="0" b="0"/>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5097780" cy="3726180"/>
                    </a:xfrm>
                    <a:prstGeom prst="rect">
                      <a:avLst/>
                    </a:prstGeom>
                    <a:noFill/>
                    <a:ln w="9525">
                      <a:noFill/>
                      <a:miter lim="800000"/>
                      <a:headEnd/>
                      <a:tailEnd/>
                    </a:ln>
                  </pic:spPr>
                </pic:pic>
              </a:graphicData>
            </a:graphic>
          </wp:inline>
        </w:drawing>
      </w:r>
    </w:p>
    <w:p w:rsidR="008A4874" w:rsidRDefault="008A4874" w:rsidP="003135DA">
      <w:pPr>
        <w:pStyle w:val="Caption"/>
        <w:keepNext/>
        <w:spacing w:before="120" w:after="0"/>
        <w:jc w:val="center"/>
      </w:pPr>
      <w:bookmarkStart w:id="8" w:name="_Ref289807734"/>
      <w:r>
        <w:t xml:space="preserve">Panel </w:t>
      </w:r>
      <w:fldSimple w:instr=" SEQ Panel \* ALPHABETIC ">
        <w:r w:rsidR="00E724CE">
          <w:rPr>
            <w:noProof/>
          </w:rPr>
          <w:t>B</w:t>
        </w:r>
      </w:fldSimple>
      <w:bookmarkEnd w:id="8"/>
      <w:r>
        <w:t xml:space="preserve">. </w:t>
      </w:r>
      <w:r>
        <w:rPr>
          <w:rFonts w:eastAsiaTheme="minorEastAsia"/>
        </w:rPr>
        <w:t>Private consumption</w:t>
      </w:r>
    </w:p>
    <w:p w:rsidR="00484EF4" w:rsidRDefault="00AD7D17" w:rsidP="003135DA">
      <w:pPr>
        <w:jc w:val="center"/>
        <w:rPr>
          <w:rFonts w:eastAsiaTheme="minorEastAsia"/>
        </w:rPr>
      </w:pPr>
      <w:r>
        <w:rPr>
          <w:rFonts w:eastAsiaTheme="minorEastAsia"/>
          <w:noProof/>
        </w:rPr>
        <w:drawing>
          <wp:inline distT="0" distB="0" distL="0" distR="0">
            <wp:extent cx="5097780" cy="3726180"/>
            <wp:effectExtent l="0" t="0" r="0" b="0"/>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5097780" cy="3726180"/>
                    </a:xfrm>
                    <a:prstGeom prst="rect">
                      <a:avLst/>
                    </a:prstGeom>
                    <a:noFill/>
                    <a:ln w="9525">
                      <a:noFill/>
                      <a:miter lim="800000"/>
                      <a:headEnd/>
                      <a:tailEnd/>
                    </a:ln>
                  </pic:spPr>
                </pic:pic>
              </a:graphicData>
            </a:graphic>
          </wp:inline>
        </w:drawing>
      </w:r>
    </w:p>
    <w:p w:rsidR="003135DA" w:rsidRDefault="003135DA" w:rsidP="003135DA">
      <w:pPr>
        <w:jc w:val="center"/>
        <w:rPr>
          <w:rFonts w:eastAsiaTheme="minorEastAsia"/>
        </w:rPr>
      </w:pPr>
      <w:r w:rsidRPr="003135DA">
        <w:rPr>
          <w:rFonts w:eastAsiaTheme="minorEastAsia"/>
          <w:noProof/>
        </w:rPr>
        <w:drawing>
          <wp:inline distT="0" distB="0" distL="0" distR="0">
            <wp:extent cx="4743450" cy="387462"/>
            <wp:effectExtent l="19050" t="0" r="0"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l="7169" t="83351" b="6129"/>
                    <a:stretch>
                      <a:fillRect/>
                    </a:stretch>
                  </pic:blipFill>
                  <pic:spPr bwMode="auto">
                    <a:xfrm>
                      <a:off x="0" y="0"/>
                      <a:ext cx="4743450" cy="387462"/>
                    </a:xfrm>
                    <a:prstGeom prst="rect">
                      <a:avLst/>
                    </a:prstGeom>
                    <a:noFill/>
                    <a:ln w="9525">
                      <a:noFill/>
                      <a:miter lim="800000"/>
                      <a:headEnd/>
                      <a:tailEnd/>
                    </a:ln>
                  </pic:spPr>
                </pic:pic>
              </a:graphicData>
            </a:graphic>
          </wp:inline>
        </w:drawing>
      </w:r>
    </w:p>
    <w:p w:rsidR="00484EF4" w:rsidRDefault="00484EF4" w:rsidP="00484EF4">
      <w:pPr>
        <w:rPr>
          <w:rFonts w:eastAsiaTheme="minorEastAsia"/>
        </w:rPr>
      </w:pPr>
    </w:p>
    <w:p w:rsidR="008A4874" w:rsidRDefault="008A4874" w:rsidP="003135DA">
      <w:pPr>
        <w:pStyle w:val="Caption"/>
        <w:keepNext/>
        <w:spacing w:before="120" w:after="0"/>
        <w:jc w:val="center"/>
      </w:pPr>
      <w:r>
        <w:t xml:space="preserve">Panel </w:t>
      </w:r>
      <w:fldSimple w:instr=" SEQ Panel \* ALPHABETIC ">
        <w:r w:rsidR="00E724CE">
          <w:rPr>
            <w:noProof/>
          </w:rPr>
          <w:t>C</w:t>
        </w:r>
      </w:fldSimple>
      <w:r>
        <w:t xml:space="preserve">. </w:t>
      </w:r>
      <w:r>
        <w:rPr>
          <w:rFonts w:eastAsiaTheme="minorEastAsia"/>
        </w:rPr>
        <w:t>Private investment</w:t>
      </w:r>
    </w:p>
    <w:p w:rsidR="00484EF4" w:rsidRDefault="00AD7D17" w:rsidP="003135DA">
      <w:pPr>
        <w:jc w:val="center"/>
        <w:rPr>
          <w:rFonts w:eastAsiaTheme="minorEastAsia"/>
        </w:rPr>
      </w:pPr>
      <w:r>
        <w:rPr>
          <w:rFonts w:eastAsiaTheme="minorEastAsia"/>
          <w:noProof/>
        </w:rPr>
        <w:drawing>
          <wp:inline distT="0" distB="0" distL="0" distR="0">
            <wp:extent cx="5097780" cy="3726180"/>
            <wp:effectExtent l="0" t="0" r="0" b="0"/>
            <wp:docPr id="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5097780" cy="3726180"/>
                    </a:xfrm>
                    <a:prstGeom prst="rect">
                      <a:avLst/>
                    </a:prstGeom>
                    <a:noFill/>
                    <a:ln w="9525">
                      <a:noFill/>
                      <a:miter lim="800000"/>
                      <a:headEnd/>
                      <a:tailEnd/>
                    </a:ln>
                  </pic:spPr>
                </pic:pic>
              </a:graphicData>
            </a:graphic>
          </wp:inline>
        </w:drawing>
      </w:r>
    </w:p>
    <w:p w:rsidR="008A4874" w:rsidRDefault="008A4874" w:rsidP="003135DA">
      <w:pPr>
        <w:pStyle w:val="Caption"/>
        <w:keepNext/>
        <w:spacing w:before="120" w:after="0"/>
        <w:jc w:val="center"/>
      </w:pPr>
      <w:bookmarkStart w:id="9" w:name="_Ref289807747"/>
      <w:proofErr w:type="gramStart"/>
      <w:r>
        <w:t xml:space="preserve">Panel </w:t>
      </w:r>
      <w:r w:rsidR="0062653A">
        <w:fldChar w:fldCharType="begin"/>
      </w:r>
      <w:r>
        <w:instrText xml:space="preserve"> SEQ Panel \* ALPHABETIC </w:instrText>
      </w:r>
      <w:r w:rsidR="0062653A">
        <w:fldChar w:fldCharType="separate"/>
      </w:r>
      <w:r w:rsidR="00E724CE">
        <w:rPr>
          <w:noProof/>
        </w:rPr>
        <w:t>D</w:t>
      </w:r>
      <w:r w:rsidR="0062653A">
        <w:fldChar w:fldCharType="end"/>
      </w:r>
      <w:bookmarkEnd w:id="9"/>
      <w:r>
        <w:t>.</w:t>
      </w:r>
      <w:proofErr w:type="gramEnd"/>
      <w:r>
        <w:t xml:space="preserve"> </w:t>
      </w:r>
      <w:r>
        <w:rPr>
          <w:rFonts w:eastAsiaTheme="minorEastAsia"/>
        </w:rPr>
        <w:t>Total employment</w:t>
      </w:r>
    </w:p>
    <w:p w:rsidR="00484EF4" w:rsidRDefault="00AD7D17" w:rsidP="003135DA">
      <w:pPr>
        <w:jc w:val="center"/>
        <w:rPr>
          <w:rFonts w:eastAsiaTheme="minorEastAsia"/>
        </w:rPr>
      </w:pPr>
      <w:r>
        <w:rPr>
          <w:rFonts w:eastAsiaTheme="minorEastAsia"/>
          <w:noProof/>
        </w:rPr>
        <w:drawing>
          <wp:inline distT="0" distB="0" distL="0" distR="0">
            <wp:extent cx="5097780" cy="3726180"/>
            <wp:effectExtent l="0" t="0" r="0" b="0"/>
            <wp:docPr id="2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srcRect/>
                    <a:stretch>
                      <a:fillRect/>
                    </a:stretch>
                  </pic:blipFill>
                  <pic:spPr bwMode="auto">
                    <a:xfrm>
                      <a:off x="0" y="0"/>
                      <a:ext cx="5097780" cy="3726180"/>
                    </a:xfrm>
                    <a:prstGeom prst="rect">
                      <a:avLst/>
                    </a:prstGeom>
                    <a:noFill/>
                    <a:ln w="9525">
                      <a:noFill/>
                      <a:miter lim="800000"/>
                      <a:headEnd/>
                      <a:tailEnd/>
                    </a:ln>
                  </pic:spPr>
                </pic:pic>
              </a:graphicData>
            </a:graphic>
          </wp:inline>
        </w:drawing>
      </w:r>
    </w:p>
    <w:p w:rsidR="003135DA" w:rsidRDefault="003135DA" w:rsidP="003135DA">
      <w:pPr>
        <w:jc w:val="center"/>
        <w:rPr>
          <w:rFonts w:eastAsiaTheme="minorEastAsia"/>
        </w:rPr>
      </w:pPr>
      <w:r w:rsidRPr="003135DA">
        <w:rPr>
          <w:rFonts w:eastAsiaTheme="minorEastAsia"/>
          <w:noProof/>
        </w:rPr>
        <w:drawing>
          <wp:inline distT="0" distB="0" distL="0" distR="0">
            <wp:extent cx="4743450" cy="387462"/>
            <wp:effectExtent l="19050" t="0" r="0"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l="7169" t="83351" b="6129"/>
                    <a:stretch>
                      <a:fillRect/>
                    </a:stretch>
                  </pic:blipFill>
                  <pic:spPr bwMode="auto">
                    <a:xfrm>
                      <a:off x="0" y="0"/>
                      <a:ext cx="4743450" cy="387462"/>
                    </a:xfrm>
                    <a:prstGeom prst="rect">
                      <a:avLst/>
                    </a:prstGeom>
                    <a:noFill/>
                    <a:ln w="9525">
                      <a:noFill/>
                      <a:miter lim="800000"/>
                      <a:headEnd/>
                      <a:tailEnd/>
                    </a:ln>
                  </pic:spPr>
                </pic:pic>
              </a:graphicData>
            </a:graphic>
          </wp:inline>
        </w:drawing>
      </w:r>
    </w:p>
    <w:p w:rsidR="001776D8" w:rsidRDefault="001776D8" w:rsidP="001776D8">
      <w:pPr>
        <w:pStyle w:val="Caption"/>
        <w:keepNext/>
        <w:spacing w:after="0"/>
        <w:jc w:val="center"/>
      </w:pPr>
      <w:bookmarkStart w:id="10" w:name="_Ref289807792"/>
      <w:r>
        <w:lastRenderedPageBreak/>
        <w:t xml:space="preserve">Panel E. </w:t>
      </w:r>
      <w:r>
        <w:rPr>
          <w:rFonts w:eastAsiaTheme="minorEastAsia"/>
        </w:rPr>
        <w:t>Private sector employment</w:t>
      </w:r>
    </w:p>
    <w:p w:rsidR="001776D8" w:rsidRDefault="001776D8" w:rsidP="001776D8">
      <w:pPr>
        <w:jc w:val="center"/>
        <w:rPr>
          <w:rFonts w:eastAsiaTheme="minorEastAsia"/>
        </w:rPr>
      </w:pPr>
      <w:r>
        <w:rPr>
          <w:rFonts w:eastAsiaTheme="minorEastAsia"/>
          <w:noProof/>
        </w:rPr>
        <w:drawing>
          <wp:inline distT="0" distB="0" distL="0" distR="0">
            <wp:extent cx="5097780" cy="3726180"/>
            <wp:effectExtent l="0" t="0" r="0" b="0"/>
            <wp:docPr id="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srcRect/>
                    <a:stretch>
                      <a:fillRect/>
                    </a:stretch>
                  </pic:blipFill>
                  <pic:spPr bwMode="auto">
                    <a:xfrm>
                      <a:off x="0" y="0"/>
                      <a:ext cx="5097780" cy="3726180"/>
                    </a:xfrm>
                    <a:prstGeom prst="rect">
                      <a:avLst/>
                    </a:prstGeom>
                    <a:noFill/>
                    <a:ln w="9525">
                      <a:noFill/>
                      <a:miter lim="800000"/>
                      <a:headEnd/>
                      <a:tailEnd/>
                    </a:ln>
                  </pic:spPr>
                </pic:pic>
              </a:graphicData>
            </a:graphic>
          </wp:inline>
        </w:drawing>
      </w:r>
    </w:p>
    <w:p w:rsidR="001776D8" w:rsidRDefault="001776D8" w:rsidP="001776D8">
      <w:pPr>
        <w:pStyle w:val="Caption"/>
        <w:keepNext/>
        <w:spacing w:before="120" w:after="0"/>
        <w:jc w:val="center"/>
      </w:pPr>
      <w:bookmarkStart w:id="11" w:name="_Ref289807765"/>
    </w:p>
    <w:p w:rsidR="001776D8" w:rsidRDefault="001776D8" w:rsidP="001776D8">
      <w:pPr>
        <w:pStyle w:val="Caption"/>
        <w:keepNext/>
        <w:spacing w:before="120" w:after="0"/>
        <w:jc w:val="center"/>
      </w:pPr>
      <w:r w:rsidRPr="001776D8">
        <w:t xml:space="preserve"> </w:t>
      </w:r>
      <w:r>
        <w:t xml:space="preserve">Panel </w:t>
      </w:r>
      <w:bookmarkEnd w:id="11"/>
      <w:r>
        <w:t>F. Unemployment rate</w:t>
      </w:r>
    </w:p>
    <w:p w:rsidR="001776D8" w:rsidRDefault="001776D8" w:rsidP="001776D8">
      <w:pPr>
        <w:jc w:val="center"/>
        <w:rPr>
          <w:rFonts w:eastAsiaTheme="minorEastAsia"/>
        </w:rPr>
      </w:pPr>
      <w:r>
        <w:rPr>
          <w:rFonts w:eastAsiaTheme="minorEastAsia"/>
          <w:noProof/>
        </w:rPr>
        <w:drawing>
          <wp:inline distT="0" distB="0" distL="0" distR="0">
            <wp:extent cx="5097780" cy="3726180"/>
            <wp:effectExtent l="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5097780" cy="3726180"/>
                    </a:xfrm>
                    <a:prstGeom prst="rect">
                      <a:avLst/>
                    </a:prstGeom>
                    <a:noFill/>
                    <a:ln w="9525">
                      <a:noFill/>
                      <a:miter lim="800000"/>
                      <a:headEnd/>
                      <a:tailEnd/>
                    </a:ln>
                  </pic:spPr>
                </pic:pic>
              </a:graphicData>
            </a:graphic>
          </wp:inline>
        </w:drawing>
      </w:r>
    </w:p>
    <w:p w:rsidR="001776D8" w:rsidRDefault="001776D8" w:rsidP="001776D8">
      <w:pPr>
        <w:spacing w:after="200" w:line="276" w:lineRule="auto"/>
        <w:jc w:val="center"/>
        <w:rPr>
          <w:b/>
          <w:bCs/>
          <w:color w:val="4F81BD" w:themeColor="accent1"/>
          <w:sz w:val="18"/>
          <w:szCs w:val="18"/>
        </w:rPr>
      </w:pPr>
      <w:r w:rsidRPr="001776D8">
        <w:rPr>
          <w:noProof/>
        </w:rPr>
        <w:drawing>
          <wp:inline distT="0" distB="0" distL="0" distR="0">
            <wp:extent cx="4743450" cy="387462"/>
            <wp:effectExtent l="1905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l="7169" t="83351" b="6129"/>
                    <a:stretch>
                      <a:fillRect/>
                    </a:stretch>
                  </pic:blipFill>
                  <pic:spPr bwMode="auto">
                    <a:xfrm>
                      <a:off x="0" y="0"/>
                      <a:ext cx="4743450" cy="387462"/>
                    </a:xfrm>
                    <a:prstGeom prst="rect">
                      <a:avLst/>
                    </a:prstGeom>
                    <a:noFill/>
                    <a:ln w="9525">
                      <a:noFill/>
                      <a:miter lim="800000"/>
                      <a:headEnd/>
                      <a:tailEnd/>
                    </a:ln>
                  </pic:spPr>
                </pic:pic>
              </a:graphicData>
            </a:graphic>
          </wp:inline>
        </w:drawing>
      </w:r>
      <w:r>
        <w:br w:type="page"/>
      </w:r>
    </w:p>
    <w:p w:rsidR="001776D8" w:rsidRDefault="001776D8" w:rsidP="001776D8">
      <w:pPr>
        <w:pStyle w:val="Caption"/>
        <w:keepNext/>
        <w:spacing w:before="120" w:after="0"/>
        <w:jc w:val="center"/>
      </w:pPr>
      <w:r>
        <w:lastRenderedPageBreak/>
        <w:t xml:space="preserve">Panel G. </w:t>
      </w:r>
      <w:r w:rsidRPr="00A27F11">
        <w:rPr>
          <w:rFonts w:eastAsiaTheme="minorEastAsia"/>
        </w:rPr>
        <w:t>Real compensation rate of the private sector</w:t>
      </w:r>
    </w:p>
    <w:p w:rsidR="001776D8" w:rsidRDefault="001776D8" w:rsidP="001776D8">
      <w:pPr>
        <w:jc w:val="center"/>
        <w:rPr>
          <w:rFonts w:eastAsiaTheme="minorEastAsia"/>
        </w:rPr>
      </w:pPr>
      <w:r>
        <w:rPr>
          <w:rFonts w:eastAsiaTheme="minorEastAsia"/>
          <w:noProof/>
        </w:rPr>
        <w:drawing>
          <wp:inline distT="0" distB="0" distL="0" distR="0">
            <wp:extent cx="5097780" cy="3726180"/>
            <wp:effectExtent l="0" t="0" r="0" b="0"/>
            <wp:docPr id="1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srcRect/>
                    <a:stretch>
                      <a:fillRect/>
                    </a:stretch>
                  </pic:blipFill>
                  <pic:spPr bwMode="auto">
                    <a:xfrm>
                      <a:off x="0" y="0"/>
                      <a:ext cx="5097780" cy="3726180"/>
                    </a:xfrm>
                    <a:prstGeom prst="rect">
                      <a:avLst/>
                    </a:prstGeom>
                    <a:noFill/>
                    <a:ln w="9525">
                      <a:noFill/>
                      <a:miter lim="800000"/>
                      <a:headEnd/>
                      <a:tailEnd/>
                    </a:ln>
                  </pic:spPr>
                </pic:pic>
              </a:graphicData>
            </a:graphic>
          </wp:inline>
        </w:drawing>
      </w:r>
    </w:p>
    <w:p w:rsidR="001776D8" w:rsidRDefault="001776D8" w:rsidP="001776D8">
      <w:pPr>
        <w:jc w:val="center"/>
        <w:rPr>
          <w:rFonts w:eastAsiaTheme="minorEastAsia"/>
        </w:rPr>
      </w:pPr>
    </w:p>
    <w:p w:rsidR="001776D8" w:rsidRDefault="001776D8" w:rsidP="001776D8">
      <w:pPr>
        <w:pStyle w:val="Caption"/>
        <w:keepNext/>
        <w:spacing w:before="120" w:after="0"/>
        <w:jc w:val="center"/>
      </w:pPr>
      <w:bookmarkStart w:id="12" w:name="_Ref289807779"/>
      <w:r>
        <w:t xml:space="preserve">Panel </w:t>
      </w:r>
      <w:bookmarkEnd w:id="12"/>
      <w:r w:rsidR="006E5018">
        <w:t>H</w:t>
      </w:r>
      <w:r>
        <w:t>. Real exports</w:t>
      </w:r>
    </w:p>
    <w:p w:rsidR="001776D8" w:rsidRDefault="001776D8" w:rsidP="001776D8">
      <w:pPr>
        <w:jc w:val="center"/>
        <w:rPr>
          <w:rFonts w:eastAsiaTheme="minorEastAsia"/>
        </w:rPr>
      </w:pPr>
      <w:r>
        <w:rPr>
          <w:rFonts w:eastAsiaTheme="minorEastAsia"/>
          <w:noProof/>
        </w:rPr>
        <w:drawing>
          <wp:inline distT="0" distB="0" distL="0" distR="0">
            <wp:extent cx="5097780" cy="3726180"/>
            <wp:effectExtent l="0" t="0" r="0" b="0"/>
            <wp:docPr id="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srcRect/>
                    <a:stretch>
                      <a:fillRect/>
                    </a:stretch>
                  </pic:blipFill>
                  <pic:spPr bwMode="auto">
                    <a:xfrm>
                      <a:off x="0" y="0"/>
                      <a:ext cx="5097780" cy="3726180"/>
                    </a:xfrm>
                    <a:prstGeom prst="rect">
                      <a:avLst/>
                    </a:prstGeom>
                    <a:noFill/>
                    <a:ln w="9525">
                      <a:noFill/>
                      <a:miter lim="800000"/>
                      <a:headEnd/>
                      <a:tailEnd/>
                    </a:ln>
                  </pic:spPr>
                </pic:pic>
              </a:graphicData>
            </a:graphic>
          </wp:inline>
        </w:drawing>
      </w:r>
    </w:p>
    <w:p w:rsidR="001776D8" w:rsidRDefault="001776D8" w:rsidP="001776D8">
      <w:pPr>
        <w:jc w:val="center"/>
        <w:rPr>
          <w:rFonts w:eastAsiaTheme="minorEastAsia"/>
        </w:rPr>
      </w:pPr>
      <w:r w:rsidRPr="003135DA">
        <w:rPr>
          <w:rFonts w:eastAsiaTheme="minorEastAsia"/>
          <w:noProof/>
        </w:rPr>
        <w:drawing>
          <wp:inline distT="0" distB="0" distL="0" distR="0">
            <wp:extent cx="4743450" cy="387462"/>
            <wp:effectExtent l="19050" t="0" r="0" b="0"/>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l="7169" t="83351" b="6129"/>
                    <a:stretch>
                      <a:fillRect/>
                    </a:stretch>
                  </pic:blipFill>
                  <pic:spPr bwMode="auto">
                    <a:xfrm>
                      <a:off x="0" y="0"/>
                      <a:ext cx="4743450" cy="387462"/>
                    </a:xfrm>
                    <a:prstGeom prst="rect">
                      <a:avLst/>
                    </a:prstGeom>
                    <a:noFill/>
                    <a:ln w="9525">
                      <a:noFill/>
                      <a:miter lim="800000"/>
                      <a:headEnd/>
                      <a:tailEnd/>
                    </a:ln>
                  </pic:spPr>
                </pic:pic>
              </a:graphicData>
            </a:graphic>
          </wp:inline>
        </w:drawing>
      </w:r>
    </w:p>
    <w:p w:rsidR="00A007AB" w:rsidRDefault="00A007AB" w:rsidP="00A007AB">
      <w:pPr>
        <w:pStyle w:val="Caption"/>
        <w:keepNext/>
        <w:spacing w:before="120" w:after="0"/>
        <w:jc w:val="center"/>
      </w:pPr>
      <w:bookmarkStart w:id="13" w:name="_Ref289807777"/>
      <w:r>
        <w:lastRenderedPageBreak/>
        <w:t>Panel I</w:t>
      </w:r>
      <w:bookmarkEnd w:id="13"/>
      <w:r>
        <w:t>. Real imports</w:t>
      </w:r>
    </w:p>
    <w:p w:rsidR="00A007AB" w:rsidRDefault="00A007AB" w:rsidP="00A007AB">
      <w:pPr>
        <w:jc w:val="center"/>
        <w:rPr>
          <w:rFonts w:eastAsiaTheme="minorEastAsia"/>
        </w:rPr>
      </w:pPr>
      <w:r>
        <w:rPr>
          <w:rFonts w:eastAsiaTheme="minorEastAsia"/>
          <w:noProof/>
        </w:rPr>
        <w:drawing>
          <wp:inline distT="0" distB="0" distL="0" distR="0">
            <wp:extent cx="5097780" cy="3726180"/>
            <wp:effectExtent l="0" t="0" r="0" b="0"/>
            <wp:docPr id="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srcRect/>
                    <a:stretch>
                      <a:fillRect/>
                    </a:stretch>
                  </pic:blipFill>
                  <pic:spPr bwMode="auto">
                    <a:xfrm>
                      <a:off x="0" y="0"/>
                      <a:ext cx="5097780" cy="3726180"/>
                    </a:xfrm>
                    <a:prstGeom prst="rect">
                      <a:avLst/>
                    </a:prstGeom>
                    <a:noFill/>
                    <a:ln w="9525">
                      <a:noFill/>
                      <a:miter lim="800000"/>
                      <a:headEnd/>
                      <a:tailEnd/>
                    </a:ln>
                  </pic:spPr>
                </pic:pic>
              </a:graphicData>
            </a:graphic>
          </wp:inline>
        </w:drawing>
      </w:r>
    </w:p>
    <w:p w:rsidR="00405B7A" w:rsidRDefault="00405B7A" w:rsidP="00C26BC2">
      <w:pPr>
        <w:pStyle w:val="Caption"/>
        <w:keepNext/>
        <w:spacing w:before="120" w:after="0"/>
        <w:jc w:val="center"/>
      </w:pPr>
    </w:p>
    <w:p w:rsidR="00C26BC2" w:rsidRDefault="00C26BC2" w:rsidP="00C26BC2">
      <w:pPr>
        <w:pStyle w:val="Caption"/>
        <w:keepNext/>
        <w:spacing w:before="120" w:after="0"/>
        <w:jc w:val="center"/>
      </w:pPr>
      <w:r>
        <w:t xml:space="preserve">Panel </w:t>
      </w:r>
      <w:bookmarkEnd w:id="10"/>
      <w:r w:rsidR="00A007AB">
        <w:t>J</w:t>
      </w:r>
      <w:r>
        <w:t xml:space="preserve">. </w:t>
      </w:r>
      <w:r>
        <w:rPr>
          <w:rFonts w:eastAsiaTheme="minorEastAsia"/>
        </w:rPr>
        <w:t>Consumer price index</w:t>
      </w:r>
    </w:p>
    <w:p w:rsidR="00C26BC2" w:rsidRDefault="00C26BC2" w:rsidP="00C26BC2">
      <w:pPr>
        <w:jc w:val="center"/>
        <w:rPr>
          <w:rFonts w:eastAsiaTheme="minorEastAsia"/>
        </w:rPr>
      </w:pPr>
      <w:r>
        <w:rPr>
          <w:rFonts w:eastAsiaTheme="minorEastAsia"/>
          <w:noProof/>
        </w:rPr>
        <w:drawing>
          <wp:inline distT="0" distB="0" distL="0" distR="0">
            <wp:extent cx="5097780" cy="3726180"/>
            <wp:effectExtent l="0" t="0" r="0"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srcRect/>
                    <a:stretch>
                      <a:fillRect/>
                    </a:stretch>
                  </pic:blipFill>
                  <pic:spPr bwMode="auto">
                    <a:xfrm>
                      <a:off x="0" y="0"/>
                      <a:ext cx="5097780" cy="3726180"/>
                    </a:xfrm>
                    <a:prstGeom prst="rect">
                      <a:avLst/>
                    </a:prstGeom>
                    <a:noFill/>
                    <a:ln w="9525">
                      <a:noFill/>
                      <a:miter lim="800000"/>
                      <a:headEnd/>
                      <a:tailEnd/>
                    </a:ln>
                  </pic:spPr>
                </pic:pic>
              </a:graphicData>
            </a:graphic>
          </wp:inline>
        </w:drawing>
      </w:r>
      <w:r w:rsidR="00A007AB" w:rsidRPr="00A007AB">
        <w:rPr>
          <w:rFonts w:eastAsiaTheme="minorEastAsia"/>
          <w:noProof/>
        </w:rPr>
        <w:t xml:space="preserve"> </w:t>
      </w:r>
      <w:r w:rsidR="00A007AB" w:rsidRPr="00A007AB">
        <w:rPr>
          <w:rFonts w:eastAsiaTheme="minorEastAsia"/>
          <w:noProof/>
        </w:rPr>
        <w:drawing>
          <wp:inline distT="0" distB="0" distL="0" distR="0">
            <wp:extent cx="4743450" cy="387462"/>
            <wp:effectExtent l="19050" t="0" r="0" b="0"/>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l="7169" t="83351" b="6129"/>
                    <a:stretch>
                      <a:fillRect/>
                    </a:stretch>
                  </pic:blipFill>
                  <pic:spPr bwMode="auto">
                    <a:xfrm>
                      <a:off x="0" y="0"/>
                      <a:ext cx="4743450" cy="387462"/>
                    </a:xfrm>
                    <a:prstGeom prst="rect">
                      <a:avLst/>
                    </a:prstGeom>
                    <a:noFill/>
                    <a:ln w="9525">
                      <a:noFill/>
                      <a:miter lim="800000"/>
                      <a:headEnd/>
                      <a:tailEnd/>
                    </a:ln>
                  </pic:spPr>
                </pic:pic>
              </a:graphicData>
            </a:graphic>
          </wp:inline>
        </w:drawing>
      </w:r>
    </w:p>
    <w:p w:rsidR="00C26BC2" w:rsidRDefault="00C26BC2" w:rsidP="00C26BC2">
      <w:pPr>
        <w:pStyle w:val="Caption"/>
        <w:keepNext/>
        <w:spacing w:before="120" w:after="0"/>
        <w:jc w:val="center"/>
      </w:pPr>
      <w:bookmarkStart w:id="14" w:name="_Ref289807794"/>
      <w:r>
        <w:lastRenderedPageBreak/>
        <w:t xml:space="preserve">Panel </w:t>
      </w:r>
      <w:r w:rsidR="00A007AB">
        <w:t>K</w:t>
      </w:r>
      <w:bookmarkEnd w:id="14"/>
      <w:r>
        <w:t>. GDP deflator</w:t>
      </w:r>
    </w:p>
    <w:p w:rsidR="00C26BC2" w:rsidRDefault="00C26BC2" w:rsidP="00C26BC2">
      <w:pPr>
        <w:jc w:val="center"/>
        <w:rPr>
          <w:rFonts w:eastAsiaTheme="minorEastAsia"/>
        </w:rPr>
      </w:pPr>
      <w:r>
        <w:rPr>
          <w:rFonts w:eastAsiaTheme="minorEastAsia"/>
          <w:noProof/>
        </w:rPr>
        <w:drawing>
          <wp:inline distT="0" distB="0" distL="0" distR="0">
            <wp:extent cx="5097780" cy="3726180"/>
            <wp:effectExtent l="0" t="0" r="0" b="0"/>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srcRect/>
                    <a:stretch>
                      <a:fillRect/>
                    </a:stretch>
                  </pic:blipFill>
                  <pic:spPr bwMode="auto">
                    <a:xfrm>
                      <a:off x="0" y="0"/>
                      <a:ext cx="5097780" cy="3726180"/>
                    </a:xfrm>
                    <a:prstGeom prst="rect">
                      <a:avLst/>
                    </a:prstGeom>
                    <a:noFill/>
                    <a:ln w="9525">
                      <a:noFill/>
                      <a:miter lim="800000"/>
                      <a:headEnd/>
                      <a:tailEnd/>
                    </a:ln>
                  </pic:spPr>
                </pic:pic>
              </a:graphicData>
            </a:graphic>
          </wp:inline>
        </w:drawing>
      </w:r>
    </w:p>
    <w:p w:rsidR="00C26BC2" w:rsidRDefault="00C26BC2" w:rsidP="00C26BC2">
      <w:pPr>
        <w:jc w:val="center"/>
        <w:rPr>
          <w:rFonts w:eastAsiaTheme="minorEastAsia"/>
        </w:rPr>
      </w:pPr>
      <w:r w:rsidRPr="003135DA">
        <w:rPr>
          <w:rFonts w:eastAsiaTheme="minorEastAsia"/>
          <w:noProof/>
        </w:rPr>
        <w:drawing>
          <wp:inline distT="0" distB="0" distL="0" distR="0">
            <wp:extent cx="4743450" cy="387462"/>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l="7169" t="83351" b="6129"/>
                    <a:stretch>
                      <a:fillRect/>
                    </a:stretch>
                  </pic:blipFill>
                  <pic:spPr bwMode="auto">
                    <a:xfrm>
                      <a:off x="0" y="0"/>
                      <a:ext cx="4743450" cy="387462"/>
                    </a:xfrm>
                    <a:prstGeom prst="rect">
                      <a:avLst/>
                    </a:prstGeom>
                    <a:noFill/>
                    <a:ln w="9525">
                      <a:noFill/>
                      <a:miter lim="800000"/>
                      <a:headEnd/>
                      <a:tailEnd/>
                    </a:ln>
                  </pic:spPr>
                </pic:pic>
              </a:graphicData>
            </a:graphic>
          </wp:inline>
        </w:drawing>
      </w:r>
    </w:p>
    <w:p w:rsidR="00C26BC2" w:rsidRDefault="00C26BC2" w:rsidP="00C26BC2">
      <w:pPr>
        <w:spacing w:after="200" w:line="276" w:lineRule="auto"/>
        <w:rPr>
          <w:rFonts w:eastAsiaTheme="minorEastAsia"/>
        </w:rPr>
      </w:pPr>
      <w:r>
        <w:rPr>
          <w:rFonts w:eastAsiaTheme="minorEastAsia"/>
        </w:rPr>
        <w:br w:type="page"/>
      </w:r>
    </w:p>
    <w:p w:rsidR="001776D8" w:rsidRDefault="001776D8" w:rsidP="001776D8">
      <w:pPr>
        <w:pStyle w:val="Caption"/>
        <w:keepNext/>
        <w:spacing w:before="120" w:after="0"/>
        <w:jc w:val="center"/>
      </w:pPr>
    </w:p>
    <w:p w:rsidR="003135DA" w:rsidRDefault="003135DA" w:rsidP="003135DA">
      <w:pPr>
        <w:jc w:val="center"/>
        <w:rPr>
          <w:rFonts w:eastAsiaTheme="minorEastAsia"/>
        </w:rPr>
      </w:pPr>
    </w:p>
    <w:p w:rsidR="00120AF6" w:rsidRPr="00850AA7" w:rsidRDefault="00120AF6" w:rsidP="00120AF6">
      <w:pPr>
        <w:pStyle w:val="Caption"/>
        <w:keepNext/>
        <w:rPr>
          <w:sz w:val="22"/>
          <w:szCs w:val="22"/>
        </w:rPr>
      </w:pPr>
      <w:proofErr w:type="gramStart"/>
      <w:r w:rsidRPr="00850AA7">
        <w:rPr>
          <w:sz w:val="22"/>
          <w:szCs w:val="22"/>
        </w:rPr>
        <w:t xml:space="preserve">Table </w:t>
      </w:r>
      <w:r w:rsidR="00872107">
        <w:rPr>
          <w:sz w:val="22"/>
          <w:szCs w:val="22"/>
        </w:rPr>
        <w:t>1</w:t>
      </w:r>
      <w:r w:rsidRPr="00850AA7">
        <w:rPr>
          <w:sz w:val="22"/>
          <w:szCs w:val="22"/>
        </w:rPr>
        <w:t>.</w:t>
      </w:r>
      <w:proofErr w:type="gramEnd"/>
      <w:r w:rsidRPr="00850AA7">
        <w:rPr>
          <w:sz w:val="22"/>
          <w:szCs w:val="22"/>
        </w:rPr>
        <w:t xml:space="preserve"> </w:t>
      </w:r>
      <w:proofErr w:type="gramStart"/>
      <w:r w:rsidRPr="00850AA7">
        <w:rPr>
          <w:sz w:val="22"/>
          <w:szCs w:val="22"/>
        </w:rPr>
        <w:t xml:space="preserve">Mean and maximum response to an </w:t>
      </w:r>
      <w:r w:rsidR="00850AA7">
        <w:rPr>
          <w:sz w:val="22"/>
          <w:szCs w:val="22"/>
        </w:rPr>
        <w:t>un</w:t>
      </w:r>
      <w:r w:rsidR="00850AA7" w:rsidRPr="00850AA7">
        <w:rPr>
          <w:sz w:val="22"/>
          <w:szCs w:val="22"/>
        </w:rPr>
        <w:t>anticipated</w:t>
      </w:r>
      <w:r w:rsidRPr="00850AA7">
        <w:rPr>
          <w:sz w:val="22"/>
          <w:szCs w:val="22"/>
        </w:rPr>
        <w:t xml:space="preserve"> one percent government spending shock.</w:t>
      </w:r>
      <w:proofErr w:type="gramEnd"/>
    </w:p>
    <w:tbl>
      <w:tblPr>
        <w:tblStyle w:val="TableGrid"/>
        <w:tblW w:w="9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38"/>
        <w:gridCol w:w="1152"/>
        <w:gridCol w:w="1152"/>
        <w:gridCol w:w="1152"/>
        <w:gridCol w:w="236"/>
        <w:gridCol w:w="1152"/>
        <w:gridCol w:w="1152"/>
        <w:gridCol w:w="1152"/>
      </w:tblGrid>
      <w:tr w:rsidR="008F664F" w:rsidRPr="008F664F" w:rsidTr="008F664F">
        <w:tc>
          <w:tcPr>
            <w:tcW w:w="2538" w:type="dxa"/>
            <w:tcBorders>
              <w:top w:val="double" w:sz="4" w:space="0" w:color="auto"/>
            </w:tcBorders>
          </w:tcPr>
          <w:p w:rsidR="008F664F" w:rsidRPr="008F664F" w:rsidRDefault="008F664F" w:rsidP="008F664F"/>
        </w:tc>
        <w:tc>
          <w:tcPr>
            <w:tcW w:w="3456" w:type="dxa"/>
            <w:gridSpan w:val="3"/>
            <w:tcBorders>
              <w:top w:val="double" w:sz="4" w:space="0" w:color="auto"/>
              <w:bottom w:val="single" w:sz="4" w:space="0" w:color="auto"/>
            </w:tcBorders>
          </w:tcPr>
          <w:p w:rsidR="008F664F" w:rsidRPr="008F664F" w:rsidRDefault="008F664F" w:rsidP="008F664F">
            <w:pPr>
              <w:jc w:val="center"/>
            </w:pPr>
            <w:r>
              <w:t>Mean response</w:t>
            </w:r>
          </w:p>
        </w:tc>
        <w:tc>
          <w:tcPr>
            <w:tcW w:w="236" w:type="dxa"/>
            <w:tcBorders>
              <w:top w:val="double" w:sz="4" w:space="0" w:color="auto"/>
            </w:tcBorders>
          </w:tcPr>
          <w:p w:rsidR="008F664F" w:rsidRPr="008F664F" w:rsidRDefault="008F664F" w:rsidP="008F664F">
            <w:pPr>
              <w:jc w:val="center"/>
            </w:pPr>
          </w:p>
        </w:tc>
        <w:tc>
          <w:tcPr>
            <w:tcW w:w="3456" w:type="dxa"/>
            <w:gridSpan w:val="3"/>
            <w:tcBorders>
              <w:top w:val="double" w:sz="4" w:space="0" w:color="auto"/>
              <w:bottom w:val="single" w:sz="4" w:space="0" w:color="auto"/>
            </w:tcBorders>
          </w:tcPr>
          <w:p w:rsidR="008F664F" w:rsidRPr="008F664F" w:rsidRDefault="008F664F" w:rsidP="008F664F">
            <w:pPr>
              <w:jc w:val="center"/>
            </w:pPr>
            <w:r>
              <w:t>Max response</w:t>
            </w:r>
          </w:p>
        </w:tc>
      </w:tr>
      <w:tr w:rsidR="008F664F" w:rsidRPr="008F664F" w:rsidTr="008F664F">
        <w:tc>
          <w:tcPr>
            <w:tcW w:w="2538" w:type="dxa"/>
          </w:tcPr>
          <w:p w:rsidR="008F664F" w:rsidRPr="008F664F" w:rsidRDefault="008F664F" w:rsidP="008F664F"/>
        </w:tc>
        <w:tc>
          <w:tcPr>
            <w:tcW w:w="1152" w:type="dxa"/>
            <w:tcBorders>
              <w:top w:val="single" w:sz="4" w:space="0" w:color="auto"/>
            </w:tcBorders>
          </w:tcPr>
          <w:p w:rsidR="008F664F" w:rsidRPr="008F664F" w:rsidRDefault="008F664F" w:rsidP="008F664F">
            <w:pPr>
              <w:jc w:val="center"/>
            </w:pPr>
            <w:r>
              <w:t>Recession</w:t>
            </w:r>
          </w:p>
        </w:tc>
        <w:tc>
          <w:tcPr>
            <w:tcW w:w="1152" w:type="dxa"/>
            <w:tcBorders>
              <w:top w:val="single" w:sz="4" w:space="0" w:color="auto"/>
            </w:tcBorders>
          </w:tcPr>
          <w:p w:rsidR="008F664F" w:rsidRPr="008F664F" w:rsidRDefault="008F664F" w:rsidP="008F664F">
            <w:pPr>
              <w:jc w:val="center"/>
            </w:pPr>
            <w:r>
              <w:t>Expansion</w:t>
            </w:r>
          </w:p>
        </w:tc>
        <w:tc>
          <w:tcPr>
            <w:tcW w:w="1152" w:type="dxa"/>
            <w:tcBorders>
              <w:top w:val="single" w:sz="4" w:space="0" w:color="auto"/>
            </w:tcBorders>
          </w:tcPr>
          <w:p w:rsidR="008F664F" w:rsidRPr="008F664F" w:rsidRDefault="008F664F" w:rsidP="008F664F">
            <w:pPr>
              <w:jc w:val="center"/>
            </w:pPr>
            <w:r>
              <w:t>Linear</w:t>
            </w:r>
          </w:p>
        </w:tc>
        <w:tc>
          <w:tcPr>
            <w:tcW w:w="236" w:type="dxa"/>
          </w:tcPr>
          <w:p w:rsidR="008F664F" w:rsidRPr="008F664F" w:rsidRDefault="008F664F" w:rsidP="008F664F">
            <w:pPr>
              <w:jc w:val="center"/>
            </w:pPr>
          </w:p>
        </w:tc>
        <w:tc>
          <w:tcPr>
            <w:tcW w:w="1152" w:type="dxa"/>
            <w:tcBorders>
              <w:top w:val="single" w:sz="4" w:space="0" w:color="auto"/>
            </w:tcBorders>
          </w:tcPr>
          <w:p w:rsidR="008F664F" w:rsidRPr="008F664F" w:rsidRDefault="008F664F" w:rsidP="008F664F">
            <w:pPr>
              <w:jc w:val="center"/>
            </w:pPr>
            <w:r>
              <w:t>Recession</w:t>
            </w:r>
          </w:p>
        </w:tc>
        <w:tc>
          <w:tcPr>
            <w:tcW w:w="1152" w:type="dxa"/>
            <w:tcBorders>
              <w:top w:val="single" w:sz="4" w:space="0" w:color="auto"/>
            </w:tcBorders>
          </w:tcPr>
          <w:p w:rsidR="008F664F" w:rsidRPr="008F664F" w:rsidRDefault="008F664F" w:rsidP="008F664F">
            <w:pPr>
              <w:jc w:val="center"/>
            </w:pPr>
            <w:r>
              <w:t>Expansion</w:t>
            </w:r>
          </w:p>
        </w:tc>
        <w:tc>
          <w:tcPr>
            <w:tcW w:w="1152" w:type="dxa"/>
            <w:tcBorders>
              <w:top w:val="single" w:sz="4" w:space="0" w:color="auto"/>
            </w:tcBorders>
          </w:tcPr>
          <w:p w:rsidR="008F664F" w:rsidRPr="008F664F" w:rsidRDefault="008F664F" w:rsidP="008F664F">
            <w:pPr>
              <w:jc w:val="center"/>
            </w:pPr>
            <w:r>
              <w:t>Linear</w:t>
            </w:r>
          </w:p>
        </w:tc>
      </w:tr>
      <w:tr w:rsidR="008F664F" w:rsidRPr="008F664F" w:rsidTr="008F664F">
        <w:tc>
          <w:tcPr>
            <w:tcW w:w="2538" w:type="dxa"/>
            <w:tcBorders>
              <w:bottom w:val="double" w:sz="4" w:space="0" w:color="auto"/>
            </w:tcBorders>
          </w:tcPr>
          <w:p w:rsidR="008F664F" w:rsidRPr="008F664F" w:rsidRDefault="008F664F" w:rsidP="008F664F"/>
        </w:tc>
        <w:tc>
          <w:tcPr>
            <w:tcW w:w="1152" w:type="dxa"/>
            <w:tcBorders>
              <w:bottom w:val="double" w:sz="4" w:space="0" w:color="auto"/>
            </w:tcBorders>
          </w:tcPr>
          <w:p w:rsidR="008F664F" w:rsidRPr="008F664F" w:rsidRDefault="008F664F" w:rsidP="008F664F">
            <w:pPr>
              <w:jc w:val="center"/>
            </w:pPr>
            <w:r>
              <w:t>(1)</w:t>
            </w:r>
          </w:p>
        </w:tc>
        <w:tc>
          <w:tcPr>
            <w:tcW w:w="1152" w:type="dxa"/>
            <w:tcBorders>
              <w:bottom w:val="double" w:sz="4" w:space="0" w:color="auto"/>
            </w:tcBorders>
          </w:tcPr>
          <w:p w:rsidR="008F664F" w:rsidRPr="008F664F" w:rsidRDefault="008F664F" w:rsidP="008F664F">
            <w:pPr>
              <w:jc w:val="center"/>
            </w:pPr>
            <w:r>
              <w:t>(2)</w:t>
            </w:r>
          </w:p>
        </w:tc>
        <w:tc>
          <w:tcPr>
            <w:tcW w:w="1152" w:type="dxa"/>
            <w:tcBorders>
              <w:bottom w:val="double" w:sz="4" w:space="0" w:color="auto"/>
            </w:tcBorders>
          </w:tcPr>
          <w:p w:rsidR="008F664F" w:rsidRPr="008F664F" w:rsidRDefault="008F664F" w:rsidP="008F664F">
            <w:pPr>
              <w:jc w:val="center"/>
            </w:pPr>
            <w:r>
              <w:t>(3)</w:t>
            </w:r>
          </w:p>
        </w:tc>
        <w:tc>
          <w:tcPr>
            <w:tcW w:w="236" w:type="dxa"/>
            <w:tcBorders>
              <w:bottom w:val="double" w:sz="4" w:space="0" w:color="auto"/>
            </w:tcBorders>
          </w:tcPr>
          <w:p w:rsidR="008F664F" w:rsidRPr="008F664F" w:rsidRDefault="008F664F" w:rsidP="008F664F">
            <w:pPr>
              <w:jc w:val="center"/>
            </w:pPr>
          </w:p>
        </w:tc>
        <w:tc>
          <w:tcPr>
            <w:tcW w:w="1152" w:type="dxa"/>
            <w:tcBorders>
              <w:bottom w:val="double" w:sz="4" w:space="0" w:color="auto"/>
            </w:tcBorders>
          </w:tcPr>
          <w:p w:rsidR="008F664F" w:rsidRPr="008F664F" w:rsidRDefault="008F664F" w:rsidP="008F664F">
            <w:pPr>
              <w:jc w:val="center"/>
            </w:pPr>
            <w:r>
              <w:t>(4)</w:t>
            </w:r>
          </w:p>
        </w:tc>
        <w:tc>
          <w:tcPr>
            <w:tcW w:w="1152" w:type="dxa"/>
            <w:tcBorders>
              <w:bottom w:val="double" w:sz="4" w:space="0" w:color="auto"/>
            </w:tcBorders>
          </w:tcPr>
          <w:p w:rsidR="008F664F" w:rsidRPr="008F664F" w:rsidRDefault="008F664F" w:rsidP="008F664F">
            <w:pPr>
              <w:jc w:val="center"/>
            </w:pPr>
            <w:r>
              <w:t>(5)</w:t>
            </w:r>
          </w:p>
        </w:tc>
        <w:tc>
          <w:tcPr>
            <w:tcW w:w="1152" w:type="dxa"/>
            <w:tcBorders>
              <w:bottom w:val="double" w:sz="4" w:space="0" w:color="auto"/>
            </w:tcBorders>
          </w:tcPr>
          <w:p w:rsidR="008F664F" w:rsidRPr="008F664F" w:rsidRDefault="008F664F" w:rsidP="008F664F">
            <w:pPr>
              <w:jc w:val="center"/>
            </w:pPr>
            <w:r>
              <w:t>(6)</w:t>
            </w:r>
          </w:p>
        </w:tc>
      </w:tr>
      <w:tr w:rsidR="00A82398" w:rsidRPr="008F664F" w:rsidTr="008F664F">
        <w:tc>
          <w:tcPr>
            <w:tcW w:w="2538" w:type="dxa"/>
            <w:vMerge w:val="restart"/>
            <w:tcBorders>
              <w:top w:val="double" w:sz="4" w:space="0" w:color="auto"/>
            </w:tcBorders>
          </w:tcPr>
          <w:p w:rsidR="00A82398" w:rsidRPr="008F664F" w:rsidRDefault="00A82398" w:rsidP="008F664F">
            <w:pPr>
              <w:ind w:left="540" w:hanging="540"/>
            </w:pPr>
            <w:r w:rsidRPr="008F664F">
              <w:t>Real GDP</w:t>
            </w:r>
          </w:p>
        </w:tc>
        <w:tc>
          <w:tcPr>
            <w:tcW w:w="1152" w:type="dxa"/>
            <w:tcBorders>
              <w:top w:val="double" w:sz="4" w:space="0" w:color="auto"/>
            </w:tcBorders>
          </w:tcPr>
          <w:p w:rsidR="00A82398" w:rsidRPr="00A82398" w:rsidRDefault="00A82398" w:rsidP="00A82398">
            <w:pPr>
              <w:tabs>
                <w:tab w:val="decimal" w:pos="306"/>
              </w:tabs>
            </w:pPr>
            <w:r w:rsidRPr="00A82398">
              <w:t>0.37</w:t>
            </w:r>
          </w:p>
        </w:tc>
        <w:tc>
          <w:tcPr>
            <w:tcW w:w="1152" w:type="dxa"/>
            <w:tcBorders>
              <w:top w:val="double" w:sz="4" w:space="0" w:color="auto"/>
            </w:tcBorders>
          </w:tcPr>
          <w:p w:rsidR="00A82398" w:rsidRPr="00A82398" w:rsidRDefault="00A82398" w:rsidP="00A82398">
            <w:pPr>
              <w:tabs>
                <w:tab w:val="decimal" w:pos="306"/>
              </w:tabs>
            </w:pPr>
            <w:r w:rsidRPr="00A82398">
              <w:t>-0.18</w:t>
            </w:r>
          </w:p>
        </w:tc>
        <w:tc>
          <w:tcPr>
            <w:tcW w:w="1152" w:type="dxa"/>
            <w:tcBorders>
              <w:top w:val="double" w:sz="4" w:space="0" w:color="auto"/>
            </w:tcBorders>
          </w:tcPr>
          <w:p w:rsidR="00A82398" w:rsidRPr="00A82398" w:rsidRDefault="00A82398" w:rsidP="00A82398">
            <w:pPr>
              <w:tabs>
                <w:tab w:val="decimal" w:pos="306"/>
              </w:tabs>
            </w:pPr>
            <w:r w:rsidRPr="00A82398">
              <w:t>0.12</w:t>
            </w:r>
          </w:p>
        </w:tc>
        <w:tc>
          <w:tcPr>
            <w:tcW w:w="236" w:type="dxa"/>
            <w:tcBorders>
              <w:top w:val="double" w:sz="4" w:space="0" w:color="auto"/>
            </w:tcBorders>
          </w:tcPr>
          <w:p w:rsidR="00A82398" w:rsidRPr="008F664F" w:rsidRDefault="00A82398" w:rsidP="00A82398">
            <w:pPr>
              <w:tabs>
                <w:tab w:val="decimal" w:pos="306"/>
                <w:tab w:val="decimal" w:pos="342"/>
              </w:tabs>
            </w:pPr>
          </w:p>
        </w:tc>
        <w:tc>
          <w:tcPr>
            <w:tcW w:w="1152" w:type="dxa"/>
            <w:tcBorders>
              <w:top w:val="double" w:sz="4" w:space="0" w:color="auto"/>
            </w:tcBorders>
          </w:tcPr>
          <w:p w:rsidR="00A82398" w:rsidRPr="00A82398" w:rsidRDefault="00A82398" w:rsidP="00A82398">
            <w:pPr>
              <w:tabs>
                <w:tab w:val="decimal" w:pos="306"/>
              </w:tabs>
            </w:pPr>
            <w:r w:rsidRPr="00A82398">
              <w:t>0.57*</w:t>
            </w:r>
          </w:p>
        </w:tc>
        <w:tc>
          <w:tcPr>
            <w:tcW w:w="1152" w:type="dxa"/>
            <w:tcBorders>
              <w:top w:val="double" w:sz="4" w:space="0" w:color="auto"/>
            </w:tcBorders>
          </w:tcPr>
          <w:p w:rsidR="00A82398" w:rsidRPr="00A82398" w:rsidRDefault="00A82398" w:rsidP="00A82398">
            <w:pPr>
              <w:tabs>
                <w:tab w:val="decimal" w:pos="306"/>
              </w:tabs>
            </w:pPr>
            <w:r w:rsidRPr="00A82398">
              <w:t>0.00</w:t>
            </w:r>
          </w:p>
        </w:tc>
        <w:tc>
          <w:tcPr>
            <w:tcW w:w="1152" w:type="dxa"/>
            <w:tcBorders>
              <w:top w:val="double" w:sz="4" w:space="0" w:color="auto"/>
            </w:tcBorders>
          </w:tcPr>
          <w:p w:rsidR="00A82398" w:rsidRPr="00A82398" w:rsidRDefault="00A82398" w:rsidP="00A82398">
            <w:pPr>
              <w:tabs>
                <w:tab w:val="decimal" w:pos="306"/>
              </w:tabs>
            </w:pPr>
            <w:r w:rsidRPr="00A82398">
              <w:t>0.17</w:t>
            </w:r>
          </w:p>
        </w:tc>
      </w:tr>
      <w:tr w:rsidR="00A82398" w:rsidRPr="008F664F" w:rsidTr="008F664F">
        <w:tc>
          <w:tcPr>
            <w:tcW w:w="2538" w:type="dxa"/>
            <w:vMerge/>
          </w:tcPr>
          <w:p w:rsidR="00A82398" w:rsidRPr="008F664F" w:rsidRDefault="00A82398" w:rsidP="008F664F">
            <w:pPr>
              <w:ind w:left="540" w:hanging="540"/>
            </w:pPr>
          </w:p>
        </w:tc>
        <w:tc>
          <w:tcPr>
            <w:tcW w:w="1152" w:type="dxa"/>
          </w:tcPr>
          <w:p w:rsidR="00A82398" w:rsidRPr="00A82398" w:rsidRDefault="00A82398" w:rsidP="00A82398">
            <w:pPr>
              <w:tabs>
                <w:tab w:val="decimal" w:pos="306"/>
              </w:tabs>
            </w:pPr>
            <w:r w:rsidRPr="00A82398">
              <w:t>(0.28)</w:t>
            </w:r>
          </w:p>
        </w:tc>
        <w:tc>
          <w:tcPr>
            <w:tcW w:w="1152" w:type="dxa"/>
          </w:tcPr>
          <w:p w:rsidR="00A82398" w:rsidRPr="00A82398" w:rsidRDefault="00A82398" w:rsidP="00A82398">
            <w:pPr>
              <w:tabs>
                <w:tab w:val="decimal" w:pos="306"/>
              </w:tabs>
            </w:pPr>
            <w:r w:rsidRPr="00A82398">
              <w:t>(0.15)</w:t>
            </w:r>
          </w:p>
        </w:tc>
        <w:tc>
          <w:tcPr>
            <w:tcW w:w="1152" w:type="dxa"/>
          </w:tcPr>
          <w:p w:rsidR="00A82398" w:rsidRPr="00A82398" w:rsidRDefault="00A82398" w:rsidP="00A82398">
            <w:pPr>
              <w:tabs>
                <w:tab w:val="decimal" w:pos="306"/>
              </w:tabs>
            </w:pPr>
            <w:r w:rsidRPr="00A82398">
              <w:t>(0.12)</w:t>
            </w:r>
          </w:p>
        </w:tc>
        <w:tc>
          <w:tcPr>
            <w:tcW w:w="236" w:type="dxa"/>
          </w:tcPr>
          <w:p w:rsidR="00A82398" w:rsidRPr="008F664F" w:rsidRDefault="00A82398" w:rsidP="00A82398">
            <w:pPr>
              <w:tabs>
                <w:tab w:val="decimal" w:pos="306"/>
                <w:tab w:val="decimal" w:pos="342"/>
              </w:tabs>
            </w:pPr>
          </w:p>
        </w:tc>
        <w:tc>
          <w:tcPr>
            <w:tcW w:w="1152" w:type="dxa"/>
          </w:tcPr>
          <w:p w:rsidR="00A82398" w:rsidRPr="00A82398" w:rsidRDefault="00A82398" w:rsidP="00A82398">
            <w:pPr>
              <w:tabs>
                <w:tab w:val="decimal" w:pos="306"/>
              </w:tabs>
            </w:pPr>
            <w:r w:rsidRPr="00A82398">
              <w:t>(0.33)</w:t>
            </w:r>
          </w:p>
        </w:tc>
        <w:tc>
          <w:tcPr>
            <w:tcW w:w="1152" w:type="dxa"/>
          </w:tcPr>
          <w:p w:rsidR="00A82398" w:rsidRPr="00A82398" w:rsidRDefault="00A82398" w:rsidP="00A82398">
            <w:pPr>
              <w:tabs>
                <w:tab w:val="decimal" w:pos="306"/>
              </w:tabs>
            </w:pPr>
            <w:r w:rsidRPr="00A82398">
              <w:t>(0.09)</w:t>
            </w:r>
          </w:p>
        </w:tc>
        <w:tc>
          <w:tcPr>
            <w:tcW w:w="1152" w:type="dxa"/>
          </w:tcPr>
          <w:p w:rsidR="00A82398" w:rsidRPr="00A82398" w:rsidRDefault="00A82398" w:rsidP="00A82398">
            <w:pPr>
              <w:tabs>
                <w:tab w:val="decimal" w:pos="306"/>
              </w:tabs>
            </w:pPr>
            <w:r w:rsidRPr="00A82398">
              <w:t>(0.16)</w:t>
            </w:r>
          </w:p>
        </w:tc>
      </w:tr>
      <w:tr w:rsidR="00A82398" w:rsidRPr="008F664F" w:rsidTr="008F77E1">
        <w:trPr>
          <w:trHeight w:val="297"/>
        </w:trPr>
        <w:tc>
          <w:tcPr>
            <w:tcW w:w="2538" w:type="dxa"/>
            <w:vMerge w:val="restart"/>
          </w:tcPr>
          <w:p w:rsidR="00A82398" w:rsidRPr="008F664F" w:rsidRDefault="00A82398" w:rsidP="00850AA7">
            <w:pPr>
              <w:spacing w:before="120"/>
              <w:ind w:left="540" w:hanging="540"/>
            </w:pPr>
            <w:r w:rsidRPr="008F664F">
              <w:t>Real private consumption</w:t>
            </w:r>
          </w:p>
        </w:tc>
        <w:tc>
          <w:tcPr>
            <w:tcW w:w="1152" w:type="dxa"/>
          </w:tcPr>
          <w:p w:rsidR="00A82398" w:rsidRPr="00A82398" w:rsidRDefault="00A82398" w:rsidP="008F77E1">
            <w:pPr>
              <w:tabs>
                <w:tab w:val="decimal" w:pos="306"/>
              </w:tabs>
              <w:spacing w:before="120"/>
            </w:pPr>
            <w:r w:rsidRPr="00A82398">
              <w:t>0.58*</w:t>
            </w:r>
          </w:p>
        </w:tc>
        <w:tc>
          <w:tcPr>
            <w:tcW w:w="1152" w:type="dxa"/>
          </w:tcPr>
          <w:p w:rsidR="00A82398" w:rsidRPr="00A82398" w:rsidRDefault="00A82398" w:rsidP="008F77E1">
            <w:pPr>
              <w:tabs>
                <w:tab w:val="decimal" w:pos="306"/>
              </w:tabs>
              <w:spacing w:before="120"/>
            </w:pPr>
            <w:r w:rsidRPr="00A82398">
              <w:t>-0.23</w:t>
            </w:r>
          </w:p>
        </w:tc>
        <w:tc>
          <w:tcPr>
            <w:tcW w:w="1152" w:type="dxa"/>
          </w:tcPr>
          <w:p w:rsidR="00A82398" w:rsidRPr="00A82398" w:rsidRDefault="00A82398" w:rsidP="008F77E1">
            <w:pPr>
              <w:tabs>
                <w:tab w:val="decimal" w:pos="306"/>
              </w:tabs>
              <w:spacing w:before="120"/>
            </w:pPr>
            <w:r w:rsidRPr="00A82398">
              <w:t>0.18</w:t>
            </w:r>
          </w:p>
        </w:tc>
        <w:tc>
          <w:tcPr>
            <w:tcW w:w="236" w:type="dxa"/>
          </w:tcPr>
          <w:p w:rsidR="00A82398" w:rsidRPr="008F664F" w:rsidRDefault="00A82398" w:rsidP="008F77E1">
            <w:pPr>
              <w:tabs>
                <w:tab w:val="decimal" w:pos="306"/>
                <w:tab w:val="decimal" w:pos="342"/>
              </w:tabs>
              <w:spacing w:before="120"/>
            </w:pPr>
          </w:p>
        </w:tc>
        <w:tc>
          <w:tcPr>
            <w:tcW w:w="1152" w:type="dxa"/>
          </w:tcPr>
          <w:p w:rsidR="00A82398" w:rsidRPr="00A82398" w:rsidRDefault="00A82398" w:rsidP="008F77E1">
            <w:pPr>
              <w:tabs>
                <w:tab w:val="decimal" w:pos="306"/>
              </w:tabs>
              <w:spacing w:before="120"/>
            </w:pPr>
            <w:r w:rsidRPr="00A82398">
              <w:t>0.79**</w:t>
            </w:r>
          </w:p>
        </w:tc>
        <w:tc>
          <w:tcPr>
            <w:tcW w:w="1152" w:type="dxa"/>
          </w:tcPr>
          <w:p w:rsidR="00A82398" w:rsidRPr="00A82398" w:rsidRDefault="00A82398" w:rsidP="008F77E1">
            <w:pPr>
              <w:tabs>
                <w:tab w:val="decimal" w:pos="306"/>
              </w:tabs>
              <w:spacing w:before="120"/>
            </w:pPr>
            <w:r w:rsidRPr="00A82398">
              <w:t>-0.16</w:t>
            </w:r>
          </w:p>
        </w:tc>
        <w:tc>
          <w:tcPr>
            <w:tcW w:w="1152" w:type="dxa"/>
          </w:tcPr>
          <w:p w:rsidR="00A82398" w:rsidRPr="00A82398" w:rsidRDefault="00A82398" w:rsidP="008F77E1">
            <w:pPr>
              <w:tabs>
                <w:tab w:val="decimal" w:pos="306"/>
              </w:tabs>
              <w:spacing w:before="120"/>
            </w:pPr>
            <w:r w:rsidRPr="00A82398">
              <w:t>0.28</w:t>
            </w:r>
          </w:p>
        </w:tc>
      </w:tr>
      <w:tr w:rsidR="00A82398" w:rsidRPr="008F664F" w:rsidTr="008F664F">
        <w:tc>
          <w:tcPr>
            <w:tcW w:w="2538" w:type="dxa"/>
            <w:vMerge/>
          </w:tcPr>
          <w:p w:rsidR="00A82398" w:rsidRPr="008F664F" w:rsidRDefault="00A82398" w:rsidP="008F664F">
            <w:pPr>
              <w:ind w:left="540" w:hanging="540"/>
            </w:pPr>
          </w:p>
        </w:tc>
        <w:tc>
          <w:tcPr>
            <w:tcW w:w="1152" w:type="dxa"/>
          </w:tcPr>
          <w:p w:rsidR="00A82398" w:rsidRPr="00A82398" w:rsidRDefault="00A82398" w:rsidP="008F77E1">
            <w:pPr>
              <w:tabs>
                <w:tab w:val="decimal" w:pos="306"/>
              </w:tabs>
            </w:pPr>
            <w:r w:rsidRPr="00A82398">
              <w:t>(0.32)</w:t>
            </w:r>
          </w:p>
        </w:tc>
        <w:tc>
          <w:tcPr>
            <w:tcW w:w="1152" w:type="dxa"/>
          </w:tcPr>
          <w:p w:rsidR="00A82398" w:rsidRPr="00A82398" w:rsidRDefault="00A82398" w:rsidP="008F77E1">
            <w:pPr>
              <w:tabs>
                <w:tab w:val="decimal" w:pos="306"/>
              </w:tabs>
            </w:pPr>
            <w:r w:rsidRPr="00A82398">
              <w:t>(0.24)</w:t>
            </w:r>
          </w:p>
        </w:tc>
        <w:tc>
          <w:tcPr>
            <w:tcW w:w="1152" w:type="dxa"/>
          </w:tcPr>
          <w:p w:rsidR="00A82398" w:rsidRPr="00A82398" w:rsidRDefault="00A82398" w:rsidP="008F77E1">
            <w:pPr>
              <w:tabs>
                <w:tab w:val="decimal" w:pos="306"/>
              </w:tabs>
            </w:pPr>
            <w:r w:rsidRPr="00A82398">
              <w:t>(0.14)</w:t>
            </w:r>
          </w:p>
        </w:tc>
        <w:tc>
          <w:tcPr>
            <w:tcW w:w="236" w:type="dxa"/>
          </w:tcPr>
          <w:p w:rsidR="00A82398" w:rsidRPr="008F664F" w:rsidRDefault="00A82398" w:rsidP="008F77E1">
            <w:pPr>
              <w:tabs>
                <w:tab w:val="decimal" w:pos="306"/>
                <w:tab w:val="decimal" w:pos="342"/>
              </w:tabs>
            </w:pPr>
          </w:p>
        </w:tc>
        <w:tc>
          <w:tcPr>
            <w:tcW w:w="1152" w:type="dxa"/>
          </w:tcPr>
          <w:p w:rsidR="00A82398" w:rsidRPr="00A82398" w:rsidRDefault="00A82398" w:rsidP="008F77E1">
            <w:pPr>
              <w:tabs>
                <w:tab w:val="decimal" w:pos="306"/>
              </w:tabs>
            </w:pPr>
            <w:r w:rsidRPr="00A82398">
              <w:t>(0.35)</w:t>
            </w:r>
          </w:p>
        </w:tc>
        <w:tc>
          <w:tcPr>
            <w:tcW w:w="1152" w:type="dxa"/>
          </w:tcPr>
          <w:p w:rsidR="00A82398" w:rsidRPr="00A82398" w:rsidRDefault="00A82398" w:rsidP="008F77E1">
            <w:pPr>
              <w:tabs>
                <w:tab w:val="decimal" w:pos="306"/>
              </w:tabs>
            </w:pPr>
            <w:r w:rsidRPr="00A82398">
              <w:t>(0.29)</w:t>
            </w:r>
          </w:p>
        </w:tc>
        <w:tc>
          <w:tcPr>
            <w:tcW w:w="1152" w:type="dxa"/>
          </w:tcPr>
          <w:p w:rsidR="00A82398" w:rsidRPr="00A82398" w:rsidRDefault="00A82398" w:rsidP="008F77E1">
            <w:pPr>
              <w:tabs>
                <w:tab w:val="decimal" w:pos="306"/>
              </w:tabs>
            </w:pPr>
            <w:r w:rsidRPr="00A82398">
              <w:t>(0.17)</w:t>
            </w:r>
          </w:p>
        </w:tc>
      </w:tr>
      <w:tr w:rsidR="00A82398" w:rsidRPr="008F664F" w:rsidTr="008F664F">
        <w:tc>
          <w:tcPr>
            <w:tcW w:w="2538" w:type="dxa"/>
            <w:vMerge w:val="restart"/>
          </w:tcPr>
          <w:p w:rsidR="00A82398" w:rsidRPr="008F664F" w:rsidRDefault="00A82398" w:rsidP="00850AA7">
            <w:pPr>
              <w:spacing w:before="120"/>
              <w:ind w:left="540" w:hanging="540"/>
            </w:pPr>
            <w:r w:rsidRPr="008F664F">
              <w:t>Real private gross capital formation</w:t>
            </w:r>
          </w:p>
        </w:tc>
        <w:tc>
          <w:tcPr>
            <w:tcW w:w="1152" w:type="dxa"/>
          </w:tcPr>
          <w:p w:rsidR="00A82398" w:rsidRPr="00A82398" w:rsidRDefault="00A82398" w:rsidP="008F77E1">
            <w:pPr>
              <w:tabs>
                <w:tab w:val="decimal" w:pos="306"/>
              </w:tabs>
              <w:spacing w:before="120"/>
            </w:pPr>
            <w:r w:rsidRPr="00A82398">
              <w:t>1.79</w:t>
            </w:r>
          </w:p>
        </w:tc>
        <w:tc>
          <w:tcPr>
            <w:tcW w:w="1152" w:type="dxa"/>
          </w:tcPr>
          <w:p w:rsidR="00A82398" w:rsidRPr="00A82398" w:rsidRDefault="00A82398" w:rsidP="008F77E1">
            <w:pPr>
              <w:tabs>
                <w:tab w:val="decimal" w:pos="306"/>
              </w:tabs>
              <w:spacing w:before="120"/>
            </w:pPr>
            <w:r w:rsidRPr="00A82398">
              <w:t>-2.03</w:t>
            </w:r>
          </w:p>
        </w:tc>
        <w:tc>
          <w:tcPr>
            <w:tcW w:w="1152" w:type="dxa"/>
          </w:tcPr>
          <w:p w:rsidR="00A82398" w:rsidRPr="00A82398" w:rsidRDefault="00A82398" w:rsidP="008F77E1">
            <w:pPr>
              <w:tabs>
                <w:tab w:val="decimal" w:pos="306"/>
              </w:tabs>
              <w:spacing w:before="120"/>
            </w:pPr>
            <w:r w:rsidRPr="00A82398">
              <w:t>-0.07</w:t>
            </w:r>
          </w:p>
        </w:tc>
        <w:tc>
          <w:tcPr>
            <w:tcW w:w="236" w:type="dxa"/>
          </w:tcPr>
          <w:p w:rsidR="00A82398" w:rsidRPr="008F664F" w:rsidRDefault="00A82398" w:rsidP="008F77E1">
            <w:pPr>
              <w:tabs>
                <w:tab w:val="decimal" w:pos="306"/>
                <w:tab w:val="decimal" w:pos="342"/>
              </w:tabs>
              <w:spacing w:before="120"/>
            </w:pPr>
          </w:p>
        </w:tc>
        <w:tc>
          <w:tcPr>
            <w:tcW w:w="1152" w:type="dxa"/>
          </w:tcPr>
          <w:p w:rsidR="00A82398" w:rsidRPr="00A82398" w:rsidRDefault="00A82398" w:rsidP="008F77E1">
            <w:pPr>
              <w:tabs>
                <w:tab w:val="decimal" w:pos="306"/>
              </w:tabs>
              <w:spacing w:before="120"/>
            </w:pPr>
            <w:r w:rsidRPr="00A82398">
              <w:t>2.57**</w:t>
            </w:r>
          </w:p>
        </w:tc>
        <w:tc>
          <w:tcPr>
            <w:tcW w:w="1152" w:type="dxa"/>
          </w:tcPr>
          <w:p w:rsidR="00A82398" w:rsidRPr="00A82398" w:rsidRDefault="00A82398" w:rsidP="008F77E1">
            <w:pPr>
              <w:tabs>
                <w:tab w:val="decimal" w:pos="306"/>
              </w:tabs>
              <w:spacing w:before="120"/>
            </w:pPr>
            <w:r w:rsidRPr="00A82398">
              <w:t>-1.39***</w:t>
            </w:r>
          </w:p>
        </w:tc>
        <w:tc>
          <w:tcPr>
            <w:tcW w:w="1152" w:type="dxa"/>
          </w:tcPr>
          <w:p w:rsidR="00A82398" w:rsidRPr="00A82398" w:rsidRDefault="00A82398" w:rsidP="008F77E1">
            <w:pPr>
              <w:tabs>
                <w:tab w:val="decimal" w:pos="306"/>
              </w:tabs>
              <w:spacing w:before="120"/>
            </w:pPr>
            <w:r w:rsidRPr="00A82398">
              <w:t>0.14</w:t>
            </w:r>
          </w:p>
        </w:tc>
      </w:tr>
      <w:tr w:rsidR="00A82398" w:rsidRPr="008F664F" w:rsidTr="008F664F">
        <w:tc>
          <w:tcPr>
            <w:tcW w:w="2538" w:type="dxa"/>
            <w:vMerge/>
          </w:tcPr>
          <w:p w:rsidR="00A82398" w:rsidRPr="008F664F" w:rsidRDefault="00A82398" w:rsidP="008F664F">
            <w:pPr>
              <w:ind w:left="540" w:hanging="540"/>
            </w:pPr>
          </w:p>
        </w:tc>
        <w:tc>
          <w:tcPr>
            <w:tcW w:w="1152" w:type="dxa"/>
          </w:tcPr>
          <w:p w:rsidR="00A82398" w:rsidRPr="00A82398" w:rsidRDefault="00A82398" w:rsidP="008F77E1">
            <w:pPr>
              <w:tabs>
                <w:tab w:val="decimal" w:pos="306"/>
              </w:tabs>
            </w:pPr>
            <w:r w:rsidRPr="00A82398">
              <w:t>(1.27)</w:t>
            </w:r>
          </w:p>
        </w:tc>
        <w:tc>
          <w:tcPr>
            <w:tcW w:w="1152" w:type="dxa"/>
          </w:tcPr>
          <w:p w:rsidR="00A82398" w:rsidRPr="00A82398" w:rsidRDefault="00A82398" w:rsidP="008F77E1">
            <w:pPr>
              <w:tabs>
                <w:tab w:val="decimal" w:pos="306"/>
              </w:tabs>
            </w:pPr>
            <w:r w:rsidRPr="00A82398">
              <w:t>(1.29)</w:t>
            </w:r>
          </w:p>
        </w:tc>
        <w:tc>
          <w:tcPr>
            <w:tcW w:w="1152" w:type="dxa"/>
          </w:tcPr>
          <w:p w:rsidR="00A82398" w:rsidRPr="00A82398" w:rsidRDefault="00A82398" w:rsidP="008F77E1">
            <w:pPr>
              <w:tabs>
                <w:tab w:val="decimal" w:pos="306"/>
              </w:tabs>
            </w:pPr>
            <w:r w:rsidRPr="00A82398">
              <w:t>(0.54)</w:t>
            </w:r>
          </w:p>
        </w:tc>
        <w:tc>
          <w:tcPr>
            <w:tcW w:w="236" w:type="dxa"/>
          </w:tcPr>
          <w:p w:rsidR="00A82398" w:rsidRPr="008F664F" w:rsidRDefault="00A82398" w:rsidP="008F77E1">
            <w:pPr>
              <w:tabs>
                <w:tab w:val="decimal" w:pos="306"/>
                <w:tab w:val="decimal" w:pos="342"/>
              </w:tabs>
            </w:pPr>
          </w:p>
        </w:tc>
        <w:tc>
          <w:tcPr>
            <w:tcW w:w="1152" w:type="dxa"/>
          </w:tcPr>
          <w:p w:rsidR="00A82398" w:rsidRPr="00A82398" w:rsidRDefault="00A82398" w:rsidP="008F77E1">
            <w:pPr>
              <w:tabs>
                <w:tab w:val="decimal" w:pos="306"/>
              </w:tabs>
            </w:pPr>
            <w:r w:rsidRPr="00A82398">
              <w:t>(1.25)</w:t>
            </w:r>
          </w:p>
        </w:tc>
        <w:tc>
          <w:tcPr>
            <w:tcW w:w="1152" w:type="dxa"/>
          </w:tcPr>
          <w:p w:rsidR="00A82398" w:rsidRPr="00A82398" w:rsidRDefault="00A82398" w:rsidP="008F77E1">
            <w:pPr>
              <w:tabs>
                <w:tab w:val="decimal" w:pos="306"/>
              </w:tabs>
            </w:pPr>
            <w:r w:rsidRPr="00A82398">
              <w:t>(0.59)</w:t>
            </w:r>
          </w:p>
        </w:tc>
        <w:tc>
          <w:tcPr>
            <w:tcW w:w="1152" w:type="dxa"/>
          </w:tcPr>
          <w:p w:rsidR="00A82398" w:rsidRPr="00A82398" w:rsidRDefault="00A82398" w:rsidP="008F77E1">
            <w:pPr>
              <w:tabs>
                <w:tab w:val="decimal" w:pos="306"/>
              </w:tabs>
            </w:pPr>
            <w:r w:rsidRPr="00A82398">
              <w:t>(0.57)</w:t>
            </w:r>
          </w:p>
        </w:tc>
      </w:tr>
      <w:tr w:rsidR="00A82398" w:rsidRPr="008F664F" w:rsidTr="008F664F">
        <w:tc>
          <w:tcPr>
            <w:tcW w:w="2538" w:type="dxa"/>
            <w:vMerge w:val="restart"/>
          </w:tcPr>
          <w:p w:rsidR="00A82398" w:rsidRPr="008F664F" w:rsidRDefault="00A82398" w:rsidP="00850AA7">
            <w:pPr>
              <w:spacing w:before="120"/>
              <w:ind w:left="540" w:hanging="540"/>
            </w:pPr>
            <w:r w:rsidRPr="008F664F">
              <w:t>Total employment</w:t>
            </w:r>
          </w:p>
        </w:tc>
        <w:tc>
          <w:tcPr>
            <w:tcW w:w="1152" w:type="dxa"/>
          </w:tcPr>
          <w:p w:rsidR="00A82398" w:rsidRPr="00A82398" w:rsidRDefault="00A82398" w:rsidP="008F77E1">
            <w:pPr>
              <w:tabs>
                <w:tab w:val="decimal" w:pos="306"/>
              </w:tabs>
              <w:spacing w:before="120"/>
            </w:pPr>
            <w:r w:rsidRPr="00A82398">
              <w:t>0.43</w:t>
            </w:r>
          </w:p>
        </w:tc>
        <w:tc>
          <w:tcPr>
            <w:tcW w:w="1152" w:type="dxa"/>
          </w:tcPr>
          <w:p w:rsidR="00A82398" w:rsidRPr="00A82398" w:rsidRDefault="00A82398" w:rsidP="008F77E1">
            <w:pPr>
              <w:tabs>
                <w:tab w:val="decimal" w:pos="306"/>
              </w:tabs>
              <w:spacing w:before="120"/>
            </w:pPr>
            <w:r w:rsidRPr="00A82398">
              <w:t>-0.09</w:t>
            </w:r>
          </w:p>
        </w:tc>
        <w:tc>
          <w:tcPr>
            <w:tcW w:w="1152" w:type="dxa"/>
          </w:tcPr>
          <w:p w:rsidR="00A82398" w:rsidRPr="00A82398" w:rsidRDefault="00A82398" w:rsidP="008F77E1">
            <w:pPr>
              <w:tabs>
                <w:tab w:val="decimal" w:pos="306"/>
              </w:tabs>
              <w:spacing w:before="120"/>
            </w:pPr>
            <w:r w:rsidRPr="00A82398">
              <w:t>0.17</w:t>
            </w:r>
          </w:p>
        </w:tc>
        <w:tc>
          <w:tcPr>
            <w:tcW w:w="236" w:type="dxa"/>
          </w:tcPr>
          <w:p w:rsidR="00A82398" w:rsidRPr="008F664F" w:rsidRDefault="00A82398" w:rsidP="008F77E1">
            <w:pPr>
              <w:tabs>
                <w:tab w:val="decimal" w:pos="306"/>
                <w:tab w:val="decimal" w:pos="342"/>
              </w:tabs>
              <w:spacing w:before="120"/>
            </w:pPr>
          </w:p>
        </w:tc>
        <w:tc>
          <w:tcPr>
            <w:tcW w:w="1152" w:type="dxa"/>
          </w:tcPr>
          <w:p w:rsidR="00A82398" w:rsidRPr="00A82398" w:rsidRDefault="00A82398" w:rsidP="008F77E1">
            <w:pPr>
              <w:tabs>
                <w:tab w:val="decimal" w:pos="306"/>
              </w:tabs>
              <w:spacing w:before="120"/>
            </w:pPr>
            <w:r w:rsidRPr="00A82398">
              <w:t>0.53</w:t>
            </w:r>
          </w:p>
        </w:tc>
        <w:tc>
          <w:tcPr>
            <w:tcW w:w="1152" w:type="dxa"/>
          </w:tcPr>
          <w:p w:rsidR="00A82398" w:rsidRPr="00A82398" w:rsidRDefault="00A82398" w:rsidP="008F77E1">
            <w:pPr>
              <w:tabs>
                <w:tab w:val="decimal" w:pos="306"/>
              </w:tabs>
              <w:spacing w:before="120"/>
            </w:pPr>
            <w:r w:rsidRPr="00A82398">
              <w:t>-0.03</w:t>
            </w:r>
          </w:p>
        </w:tc>
        <w:tc>
          <w:tcPr>
            <w:tcW w:w="1152" w:type="dxa"/>
          </w:tcPr>
          <w:p w:rsidR="00A82398" w:rsidRPr="00A82398" w:rsidRDefault="00A82398" w:rsidP="008F77E1">
            <w:pPr>
              <w:tabs>
                <w:tab w:val="decimal" w:pos="306"/>
              </w:tabs>
              <w:spacing w:before="120"/>
            </w:pPr>
            <w:r w:rsidRPr="00A82398">
              <w:t>0.25*</w:t>
            </w:r>
          </w:p>
        </w:tc>
      </w:tr>
      <w:tr w:rsidR="00A82398" w:rsidRPr="008F664F" w:rsidTr="008F664F">
        <w:tc>
          <w:tcPr>
            <w:tcW w:w="2538" w:type="dxa"/>
            <w:vMerge/>
          </w:tcPr>
          <w:p w:rsidR="00A82398" w:rsidRPr="008F664F" w:rsidRDefault="00A82398" w:rsidP="008F664F">
            <w:pPr>
              <w:ind w:left="540" w:hanging="540"/>
            </w:pPr>
          </w:p>
        </w:tc>
        <w:tc>
          <w:tcPr>
            <w:tcW w:w="1152" w:type="dxa"/>
          </w:tcPr>
          <w:p w:rsidR="00A82398" w:rsidRPr="00A82398" w:rsidRDefault="00A82398" w:rsidP="008F77E1">
            <w:pPr>
              <w:tabs>
                <w:tab w:val="decimal" w:pos="306"/>
              </w:tabs>
            </w:pPr>
            <w:r w:rsidRPr="00A82398">
              <w:t>(0.27)</w:t>
            </w:r>
          </w:p>
        </w:tc>
        <w:tc>
          <w:tcPr>
            <w:tcW w:w="1152" w:type="dxa"/>
          </w:tcPr>
          <w:p w:rsidR="00A82398" w:rsidRPr="00A82398" w:rsidRDefault="00A82398" w:rsidP="008F77E1">
            <w:pPr>
              <w:tabs>
                <w:tab w:val="decimal" w:pos="306"/>
              </w:tabs>
            </w:pPr>
            <w:r w:rsidRPr="00A82398">
              <w:t>(0.22)</w:t>
            </w:r>
          </w:p>
        </w:tc>
        <w:tc>
          <w:tcPr>
            <w:tcW w:w="1152" w:type="dxa"/>
          </w:tcPr>
          <w:p w:rsidR="00A82398" w:rsidRPr="00A82398" w:rsidRDefault="00A82398" w:rsidP="008F77E1">
            <w:pPr>
              <w:tabs>
                <w:tab w:val="decimal" w:pos="306"/>
              </w:tabs>
            </w:pPr>
            <w:r w:rsidRPr="00A82398">
              <w:t>(0.10)</w:t>
            </w:r>
          </w:p>
        </w:tc>
        <w:tc>
          <w:tcPr>
            <w:tcW w:w="236" w:type="dxa"/>
          </w:tcPr>
          <w:p w:rsidR="00A82398" w:rsidRPr="008F664F" w:rsidRDefault="00A82398" w:rsidP="008F77E1">
            <w:pPr>
              <w:tabs>
                <w:tab w:val="decimal" w:pos="306"/>
                <w:tab w:val="decimal" w:pos="342"/>
              </w:tabs>
            </w:pPr>
          </w:p>
        </w:tc>
        <w:tc>
          <w:tcPr>
            <w:tcW w:w="1152" w:type="dxa"/>
          </w:tcPr>
          <w:p w:rsidR="00A82398" w:rsidRPr="00A82398" w:rsidRDefault="00A82398" w:rsidP="008F77E1">
            <w:pPr>
              <w:tabs>
                <w:tab w:val="decimal" w:pos="306"/>
              </w:tabs>
            </w:pPr>
            <w:r w:rsidRPr="00A82398">
              <w:t>(0.34)</w:t>
            </w:r>
          </w:p>
        </w:tc>
        <w:tc>
          <w:tcPr>
            <w:tcW w:w="1152" w:type="dxa"/>
          </w:tcPr>
          <w:p w:rsidR="00A82398" w:rsidRPr="00A82398" w:rsidRDefault="00A82398" w:rsidP="008F77E1">
            <w:pPr>
              <w:tabs>
                <w:tab w:val="decimal" w:pos="306"/>
              </w:tabs>
            </w:pPr>
            <w:r w:rsidRPr="00A82398">
              <w:t>(0.30)</w:t>
            </w:r>
          </w:p>
        </w:tc>
        <w:tc>
          <w:tcPr>
            <w:tcW w:w="1152" w:type="dxa"/>
          </w:tcPr>
          <w:p w:rsidR="00A82398" w:rsidRPr="00A82398" w:rsidRDefault="00A82398" w:rsidP="008F77E1">
            <w:pPr>
              <w:tabs>
                <w:tab w:val="decimal" w:pos="306"/>
              </w:tabs>
            </w:pPr>
            <w:r w:rsidRPr="00A82398">
              <w:t>(0.15)</w:t>
            </w:r>
          </w:p>
        </w:tc>
      </w:tr>
      <w:tr w:rsidR="00A82398" w:rsidRPr="008F664F" w:rsidTr="008F664F">
        <w:tc>
          <w:tcPr>
            <w:tcW w:w="2538" w:type="dxa"/>
            <w:vMerge w:val="restart"/>
          </w:tcPr>
          <w:p w:rsidR="00A82398" w:rsidRPr="008F664F" w:rsidRDefault="00A82398" w:rsidP="00850AA7">
            <w:pPr>
              <w:spacing w:before="120"/>
              <w:ind w:left="540" w:hanging="540"/>
            </w:pPr>
            <w:r w:rsidRPr="008F664F">
              <w:t>Employment in the private sector</w:t>
            </w:r>
          </w:p>
        </w:tc>
        <w:tc>
          <w:tcPr>
            <w:tcW w:w="1152" w:type="dxa"/>
          </w:tcPr>
          <w:p w:rsidR="00A82398" w:rsidRPr="00A82398" w:rsidRDefault="00A82398" w:rsidP="008F77E1">
            <w:pPr>
              <w:tabs>
                <w:tab w:val="decimal" w:pos="306"/>
              </w:tabs>
              <w:spacing w:before="120"/>
            </w:pPr>
            <w:r w:rsidRPr="00A82398">
              <w:t>0.60</w:t>
            </w:r>
          </w:p>
        </w:tc>
        <w:tc>
          <w:tcPr>
            <w:tcW w:w="1152" w:type="dxa"/>
          </w:tcPr>
          <w:p w:rsidR="00A82398" w:rsidRPr="00A82398" w:rsidRDefault="00A82398" w:rsidP="008F77E1">
            <w:pPr>
              <w:tabs>
                <w:tab w:val="decimal" w:pos="306"/>
              </w:tabs>
              <w:spacing w:before="120"/>
            </w:pPr>
            <w:r w:rsidRPr="00A82398">
              <w:t>-0.53**</w:t>
            </w:r>
          </w:p>
        </w:tc>
        <w:tc>
          <w:tcPr>
            <w:tcW w:w="1152" w:type="dxa"/>
          </w:tcPr>
          <w:p w:rsidR="00A82398" w:rsidRPr="00A82398" w:rsidRDefault="00A82398" w:rsidP="008F77E1">
            <w:pPr>
              <w:tabs>
                <w:tab w:val="decimal" w:pos="306"/>
              </w:tabs>
              <w:spacing w:before="120"/>
            </w:pPr>
            <w:r w:rsidRPr="00A82398">
              <w:t>-0.07</w:t>
            </w:r>
          </w:p>
        </w:tc>
        <w:tc>
          <w:tcPr>
            <w:tcW w:w="236" w:type="dxa"/>
          </w:tcPr>
          <w:p w:rsidR="00A82398" w:rsidRPr="008F664F" w:rsidRDefault="00A82398" w:rsidP="008F77E1">
            <w:pPr>
              <w:tabs>
                <w:tab w:val="decimal" w:pos="306"/>
                <w:tab w:val="decimal" w:pos="342"/>
              </w:tabs>
              <w:spacing w:before="120"/>
            </w:pPr>
          </w:p>
        </w:tc>
        <w:tc>
          <w:tcPr>
            <w:tcW w:w="1152" w:type="dxa"/>
          </w:tcPr>
          <w:p w:rsidR="00A82398" w:rsidRPr="00A82398" w:rsidRDefault="00A82398" w:rsidP="008F77E1">
            <w:pPr>
              <w:tabs>
                <w:tab w:val="decimal" w:pos="306"/>
              </w:tabs>
              <w:spacing w:before="120"/>
            </w:pPr>
            <w:r w:rsidRPr="00A82398">
              <w:t>0.88*</w:t>
            </w:r>
          </w:p>
        </w:tc>
        <w:tc>
          <w:tcPr>
            <w:tcW w:w="1152" w:type="dxa"/>
          </w:tcPr>
          <w:p w:rsidR="00A82398" w:rsidRPr="00A82398" w:rsidRDefault="00A82398" w:rsidP="008F77E1">
            <w:pPr>
              <w:tabs>
                <w:tab w:val="decimal" w:pos="306"/>
              </w:tabs>
              <w:spacing w:before="120"/>
            </w:pPr>
            <w:r w:rsidRPr="00A82398">
              <w:t>-0.09</w:t>
            </w:r>
          </w:p>
        </w:tc>
        <w:tc>
          <w:tcPr>
            <w:tcW w:w="1152" w:type="dxa"/>
          </w:tcPr>
          <w:p w:rsidR="00A82398" w:rsidRPr="00A82398" w:rsidRDefault="00A82398" w:rsidP="008F77E1">
            <w:pPr>
              <w:tabs>
                <w:tab w:val="decimal" w:pos="306"/>
              </w:tabs>
              <w:spacing w:before="120"/>
            </w:pPr>
            <w:r w:rsidRPr="00A82398">
              <w:t>0.02</w:t>
            </w:r>
          </w:p>
        </w:tc>
      </w:tr>
      <w:tr w:rsidR="00A82398" w:rsidRPr="008F664F" w:rsidTr="008F664F">
        <w:tc>
          <w:tcPr>
            <w:tcW w:w="2538" w:type="dxa"/>
            <w:vMerge/>
          </w:tcPr>
          <w:p w:rsidR="00A82398" w:rsidRPr="008F664F" w:rsidRDefault="00A82398" w:rsidP="008F664F">
            <w:pPr>
              <w:ind w:left="540" w:hanging="540"/>
            </w:pPr>
          </w:p>
        </w:tc>
        <w:tc>
          <w:tcPr>
            <w:tcW w:w="1152" w:type="dxa"/>
          </w:tcPr>
          <w:p w:rsidR="00A82398" w:rsidRPr="00A82398" w:rsidRDefault="00A82398" w:rsidP="008F77E1">
            <w:pPr>
              <w:tabs>
                <w:tab w:val="decimal" w:pos="306"/>
              </w:tabs>
            </w:pPr>
            <w:r w:rsidRPr="00A82398">
              <w:t>(0.36)</w:t>
            </w:r>
          </w:p>
        </w:tc>
        <w:tc>
          <w:tcPr>
            <w:tcW w:w="1152" w:type="dxa"/>
          </w:tcPr>
          <w:p w:rsidR="00A82398" w:rsidRPr="00A82398" w:rsidRDefault="00A82398" w:rsidP="008F77E1">
            <w:pPr>
              <w:tabs>
                <w:tab w:val="decimal" w:pos="306"/>
              </w:tabs>
            </w:pPr>
            <w:r w:rsidRPr="00A82398">
              <w:t>(0.25)</w:t>
            </w:r>
          </w:p>
        </w:tc>
        <w:tc>
          <w:tcPr>
            <w:tcW w:w="1152" w:type="dxa"/>
          </w:tcPr>
          <w:p w:rsidR="00A82398" w:rsidRPr="00A82398" w:rsidRDefault="00A82398" w:rsidP="008F77E1">
            <w:pPr>
              <w:tabs>
                <w:tab w:val="decimal" w:pos="306"/>
              </w:tabs>
            </w:pPr>
            <w:r w:rsidRPr="00A82398">
              <w:t>(0.14)</w:t>
            </w:r>
          </w:p>
        </w:tc>
        <w:tc>
          <w:tcPr>
            <w:tcW w:w="236" w:type="dxa"/>
          </w:tcPr>
          <w:p w:rsidR="00A82398" w:rsidRPr="008F664F" w:rsidRDefault="00A82398" w:rsidP="008F77E1">
            <w:pPr>
              <w:tabs>
                <w:tab w:val="decimal" w:pos="306"/>
                <w:tab w:val="decimal" w:pos="342"/>
              </w:tabs>
            </w:pPr>
          </w:p>
        </w:tc>
        <w:tc>
          <w:tcPr>
            <w:tcW w:w="1152" w:type="dxa"/>
          </w:tcPr>
          <w:p w:rsidR="00A82398" w:rsidRPr="00A82398" w:rsidRDefault="00A82398" w:rsidP="008F77E1">
            <w:pPr>
              <w:tabs>
                <w:tab w:val="decimal" w:pos="306"/>
              </w:tabs>
            </w:pPr>
            <w:r w:rsidRPr="00A82398">
              <w:t>(0.52)</w:t>
            </w:r>
          </w:p>
        </w:tc>
        <w:tc>
          <w:tcPr>
            <w:tcW w:w="1152" w:type="dxa"/>
          </w:tcPr>
          <w:p w:rsidR="00A82398" w:rsidRPr="00A82398" w:rsidRDefault="00A82398" w:rsidP="008F77E1">
            <w:pPr>
              <w:tabs>
                <w:tab w:val="decimal" w:pos="306"/>
              </w:tabs>
            </w:pPr>
            <w:r w:rsidRPr="00A82398">
              <w:t>(0.09)</w:t>
            </w:r>
          </w:p>
        </w:tc>
        <w:tc>
          <w:tcPr>
            <w:tcW w:w="1152" w:type="dxa"/>
          </w:tcPr>
          <w:p w:rsidR="00A82398" w:rsidRPr="00A82398" w:rsidRDefault="00A82398" w:rsidP="008F77E1">
            <w:pPr>
              <w:tabs>
                <w:tab w:val="decimal" w:pos="306"/>
              </w:tabs>
            </w:pPr>
            <w:r w:rsidRPr="00A82398">
              <w:t>(0.04)</w:t>
            </w:r>
          </w:p>
        </w:tc>
      </w:tr>
      <w:tr w:rsidR="00A82398" w:rsidRPr="008F664F" w:rsidTr="008F664F">
        <w:tc>
          <w:tcPr>
            <w:tcW w:w="2538" w:type="dxa"/>
            <w:vMerge w:val="restart"/>
          </w:tcPr>
          <w:p w:rsidR="00A82398" w:rsidRPr="008F664F" w:rsidRDefault="00A82398" w:rsidP="00850AA7">
            <w:pPr>
              <w:spacing w:before="120"/>
              <w:ind w:left="540" w:hanging="540"/>
            </w:pPr>
            <w:r w:rsidRPr="008F664F">
              <w:t>Unemployment rate</w:t>
            </w:r>
          </w:p>
        </w:tc>
        <w:tc>
          <w:tcPr>
            <w:tcW w:w="1152" w:type="dxa"/>
          </w:tcPr>
          <w:p w:rsidR="00A82398" w:rsidRPr="00A82398" w:rsidRDefault="00A82398" w:rsidP="008F77E1">
            <w:pPr>
              <w:tabs>
                <w:tab w:val="decimal" w:pos="306"/>
              </w:tabs>
              <w:spacing w:before="120"/>
            </w:pPr>
            <w:r w:rsidRPr="00A82398">
              <w:t>-0.12</w:t>
            </w:r>
          </w:p>
        </w:tc>
        <w:tc>
          <w:tcPr>
            <w:tcW w:w="1152" w:type="dxa"/>
          </w:tcPr>
          <w:p w:rsidR="00A82398" w:rsidRPr="00A82398" w:rsidRDefault="00A82398" w:rsidP="008F77E1">
            <w:pPr>
              <w:tabs>
                <w:tab w:val="decimal" w:pos="306"/>
              </w:tabs>
              <w:spacing w:before="120"/>
            </w:pPr>
            <w:r w:rsidRPr="00A82398">
              <w:t>0.01</w:t>
            </w:r>
          </w:p>
        </w:tc>
        <w:tc>
          <w:tcPr>
            <w:tcW w:w="1152" w:type="dxa"/>
          </w:tcPr>
          <w:p w:rsidR="00A82398" w:rsidRPr="00A82398" w:rsidRDefault="00A82398" w:rsidP="008F77E1">
            <w:pPr>
              <w:tabs>
                <w:tab w:val="decimal" w:pos="306"/>
              </w:tabs>
              <w:spacing w:before="120"/>
            </w:pPr>
            <w:r w:rsidRPr="00A82398">
              <w:t>-0.06</w:t>
            </w:r>
          </w:p>
        </w:tc>
        <w:tc>
          <w:tcPr>
            <w:tcW w:w="236" w:type="dxa"/>
          </w:tcPr>
          <w:p w:rsidR="00A82398" w:rsidRPr="008F664F" w:rsidRDefault="00A82398" w:rsidP="008F77E1">
            <w:pPr>
              <w:tabs>
                <w:tab w:val="decimal" w:pos="306"/>
                <w:tab w:val="decimal" w:pos="342"/>
              </w:tabs>
              <w:spacing w:before="120"/>
            </w:pPr>
          </w:p>
        </w:tc>
        <w:tc>
          <w:tcPr>
            <w:tcW w:w="1152" w:type="dxa"/>
          </w:tcPr>
          <w:p w:rsidR="00A82398" w:rsidRPr="00A82398" w:rsidRDefault="00A82398" w:rsidP="008F77E1">
            <w:pPr>
              <w:tabs>
                <w:tab w:val="decimal" w:pos="306"/>
              </w:tabs>
              <w:spacing w:before="120"/>
            </w:pPr>
            <w:r w:rsidRPr="00A82398">
              <w:t>-0.20</w:t>
            </w:r>
          </w:p>
        </w:tc>
        <w:tc>
          <w:tcPr>
            <w:tcW w:w="1152" w:type="dxa"/>
          </w:tcPr>
          <w:p w:rsidR="00A82398" w:rsidRPr="00A82398" w:rsidRDefault="00A82398" w:rsidP="008F77E1">
            <w:pPr>
              <w:tabs>
                <w:tab w:val="decimal" w:pos="306"/>
              </w:tabs>
              <w:spacing w:before="120"/>
            </w:pPr>
            <w:r w:rsidRPr="00A82398">
              <w:t>-0.04</w:t>
            </w:r>
          </w:p>
        </w:tc>
        <w:tc>
          <w:tcPr>
            <w:tcW w:w="1152" w:type="dxa"/>
          </w:tcPr>
          <w:p w:rsidR="00A82398" w:rsidRPr="00A82398" w:rsidRDefault="00A82398" w:rsidP="008F77E1">
            <w:pPr>
              <w:tabs>
                <w:tab w:val="decimal" w:pos="306"/>
              </w:tabs>
              <w:spacing w:before="120"/>
            </w:pPr>
            <w:r w:rsidRPr="00A82398">
              <w:t>-0.08</w:t>
            </w:r>
          </w:p>
        </w:tc>
      </w:tr>
      <w:tr w:rsidR="00A82398" w:rsidRPr="008F664F" w:rsidTr="008F664F">
        <w:tc>
          <w:tcPr>
            <w:tcW w:w="2538" w:type="dxa"/>
            <w:vMerge/>
          </w:tcPr>
          <w:p w:rsidR="00A82398" w:rsidRPr="008F664F" w:rsidRDefault="00A82398" w:rsidP="008F664F">
            <w:pPr>
              <w:ind w:left="540" w:hanging="540"/>
            </w:pPr>
          </w:p>
        </w:tc>
        <w:tc>
          <w:tcPr>
            <w:tcW w:w="1152" w:type="dxa"/>
          </w:tcPr>
          <w:p w:rsidR="00A82398" w:rsidRPr="00A82398" w:rsidRDefault="00A82398" w:rsidP="008F77E1">
            <w:pPr>
              <w:tabs>
                <w:tab w:val="decimal" w:pos="306"/>
              </w:tabs>
            </w:pPr>
            <w:r w:rsidRPr="00A82398">
              <w:t>(0.12)</w:t>
            </w:r>
          </w:p>
        </w:tc>
        <w:tc>
          <w:tcPr>
            <w:tcW w:w="1152" w:type="dxa"/>
          </w:tcPr>
          <w:p w:rsidR="00A82398" w:rsidRPr="00A82398" w:rsidRDefault="00A82398" w:rsidP="008F77E1">
            <w:pPr>
              <w:tabs>
                <w:tab w:val="decimal" w:pos="306"/>
              </w:tabs>
            </w:pPr>
            <w:r w:rsidRPr="00A82398">
              <w:t>(0.11)</w:t>
            </w:r>
          </w:p>
        </w:tc>
        <w:tc>
          <w:tcPr>
            <w:tcW w:w="1152" w:type="dxa"/>
          </w:tcPr>
          <w:p w:rsidR="00A82398" w:rsidRPr="00A82398" w:rsidRDefault="00A82398" w:rsidP="008F77E1">
            <w:pPr>
              <w:tabs>
                <w:tab w:val="decimal" w:pos="306"/>
              </w:tabs>
            </w:pPr>
            <w:r w:rsidRPr="00A82398">
              <w:t>(0.06)</w:t>
            </w:r>
          </w:p>
        </w:tc>
        <w:tc>
          <w:tcPr>
            <w:tcW w:w="236" w:type="dxa"/>
          </w:tcPr>
          <w:p w:rsidR="00A82398" w:rsidRPr="008F664F" w:rsidRDefault="00A82398" w:rsidP="008F77E1">
            <w:pPr>
              <w:tabs>
                <w:tab w:val="decimal" w:pos="306"/>
                <w:tab w:val="decimal" w:pos="342"/>
              </w:tabs>
            </w:pPr>
          </w:p>
        </w:tc>
        <w:tc>
          <w:tcPr>
            <w:tcW w:w="1152" w:type="dxa"/>
          </w:tcPr>
          <w:p w:rsidR="00A82398" w:rsidRPr="00A82398" w:rsidRDefault="00A82398" w:rsidP="008F77E1">
            <w:pPr>
              <w:tabs>
                <w:tab w:val="decimal" w:pos="306"/>
              </w:tabs>
            </w:pPr>
            <w:r w:rsidRPr="00A82398">
              <w:t>(0.15)</w:t>
            </w:r>
          </w:p>
        </w:tc>
        <w:tc>
          <w:tcPr>
            <w:tcW w:w="1152" w:type="dxa"/>
          </w:tcPr>
          <w:p w:rsidR="00A82398" w:rsidRPr="00A82398" w:rsidRDefault="00A82398" w:rsidP="008F77E1">
            <w:pPr>
              <w:tabs>
                <w:tab w:val="decimal" w:pos="306"/>
              </w:tabs>
            </w:pPr>
            <w:r w:rsidRPr="00A82398">
              <w:t>(0.04)</w:t>
            </w:r>
          </w:p>
        </w:tc>
        <w:tc>
          <w:tcPr>
            <w:tcW w:w="1152" w:type="dxa"/>
          </w:tcPr>
          <w:p w:rsidR="00A82398" w:rsidRPr="00A82398" w:rsidRDefault="00A82398" w:rsidP="008F77E1">
            <w:pPr>
              <w:tabs>
                <w:tab w:val="decimal" w:pos="306"/>
              </w:tabs>
            </w:pPr>
            <w:r w:rsidRPr="00A82398">
              <w:t>(0.09)</w:t>
            </w:r>
          </w:p>
        </w:tc>
      </w:tr>
      <w:tr w:rsidR="00A82398" w:rsidRPr="008F664F" w:rsidTr="008F664F">
        <w:tc>
          <w:tcPr>
            <w:tcW w:w="2538" w:type="dxa"/>
            <w:vMerge w:val="restart"/>
          </w:tcPr>
          <w:p w:rsidR="00A82398" w:rsidRPr="008F664F" w:rsidRDefault="00A82398" w:rsidP="00850AA7">
            <w:pPr>
              <w:spacing w:before="120"/>
              <w:ind w:left="540" w:hanging="540"/>
            </w:pPr>
            <w:r w:rsidRPr="008F664F">
              <w:t>Real compensation rate of the private sector</w:t>
            </w:r>
          </w:p>
        </w:tc>
        <w:tc>
          <w:tcPr>
            <w:tcW w:w="1152" w:type="dxa"/>
          </w:tcPr>
          <w:p w:rsidR="00A82398" w:rsidRPr="00A82398" w:rsidRDefault="00A82398" w:rsidP="008F77E1">
            <w:pPr>
              <w:tabs>
                <w:tab w:val="decimal" w:pos="306"/>
              </w:tabs>
              <w:spacing w:before="120"/>
            </w:pPr>
            <w:r w:rsidRPr="00A82398">
              <w:t>-0.08</w:t>
            </w:r>
          </w:p>
        </w:tc>
        <w:tc>
          <w:tcPr>
            <w:tcW w:w="1152" w:type="dxa"/>
          </w:tcPr>
          <w:p w:rsidR="00A82398" w:rsidRPr="00A82398" w:rsidRDefault="00A82398" w:rsidP="008F77E1">
            <w:pPr>
              <w:tabs>
                <w:tab w:val="decimal" w:pos="306"/>
              </w:tabs>
              <w:spacing w:before="120"/>
            </w:pPr>
            <w:r w:rsidRPr="00A82398">
              <w:t>0.58</w:t>
            </w:r>
          </w:p>
        </w:tc>
        <w:tc>
          <w:tcPr>
            <w:tcW w:w="1152" w:type="dxa"/>
          </w:tcPr>
          <w:p w:rsidR="00A82398" w:rsidRPr="00A82398" w:rsidRDefault="00A82398" w:rsidP="008F77E1">
            <w:pPr>
              <w:tabs>
                <w:tab w:val="decimal" w:pos="306"/>
              </w:tabs>
              <w:spacing w:before="120"/>
            </w:pPr>
            <w:r w:rsidRPr="00A82398">
              <w:t>0.24**</w:t>
            </w:r>
          </w:p>
        </w:tc>
        <w:tc>
          <w:tcPr>
            <w:tcW w:w="236" w:type="dxa"/>
          </w:tcPr>
          <w:p w:rsidR="00A82398" w:rsidRPr="008F664F" w:rsidRDefault="00A82398" w:rsidP="008F77E1">
            <w:pPr>
              <w:tabs>
                <w:tab w:val="decimal" w:pos="306"/>
                <w:tab w:val="decimal" w:pos="342"/>
              </w:tabs>
              <w:spacing w:before="120"/>
            </w:pPr>
          </w:p>
        </w:tc>
        <w:tc>
          <w:tcPr>
            <w:tcW w:w="1152" w:type="dxa"/>
          </w:tcPr>
          <w:p w:rsidR="00A82398" w:rsidRPr="00A82398" w:rsidRDefault="00A82398" w:rsidP="008F77E1">
            <w:pPr>
              <w:tabs>
                <w:tab w:val="decimal" w:pos="306"/>
              </w:tabs>
              <w:spacing w:before="120"/>
            </w:pPr>
            <w:r w:rsidRPr="00A82398">
              <w:t>0.20</w:t>
            </w:r>
          </w:p>
        </w:tc>
        <w:tc>
          <w:tcPr>
            <w:tcW w:w="1152" w:type="dxa"/>
          </w:tcPr>
          <w:p w:rsidR="00A82398" w:rsidRPr="00A82398" w:rsidRDefault="00A82398" w:rsidP="008F77E1">
            <w:pPr>
              <w:tabs>
                <w:tab w:val="decimal" w:pos="306"/>
              </w:tabs>
              <w:spacing w:before="120"/>
            </w:pPr>
            <w:r w:rsidRPr="00A82398">
              <w:t>0.93*</w:t>
            </w:r>
          </w:p>
        </w:tc>
        <w:tc>
          <w:tcPr>
            <w:tcW w:w="1152" w:type="dxa"/>
          </w:tcPr>
          <w:p w:rsidR="00A82398" w:rsidRPr="00A82398" w:rsidRDefault="00A82398" w:rsidP="008F77E1">
            <w:pPr>
              <w:tabs>
                <w:tab w:val="decimal" w:pos="306"/>
              </w:tabs>
              <w:spacing w:before="120"/>
            </w:pPr>
            <w:r w:rsidRPr="00A82398">
              <w:t>0.39**</w:t>
            </w:r>
          </w:p>
        </w:tc>
      </w:tr>
      <w:tr w:rsidR="00A82398" w:rsidRPr="008F664F" w:rsidTr="008F664F">
        <w:tc>
          <w:tcPr>
            <w:tcW w:w="2538" w:type="dxa"/>
            <w:vMerge/>
          </w:tcPr>
          <w:p w:rsidR="00A82398" w:rsidRPr="008F664F" w:rsidRDefault="00A82398" w:rsidP="008F664F">
            <w:pPr>
              <w:ind w:left="540" w:hanging="540"/>
            </w:pPr>
          </w:p>
        </w:tc>
        <w:tc>
          <w:tcPr>
            <w:tcW w:w="1152" w:type="dxa"/>
          </w:tcPr>
          <w:p w:rsidR="00A82398" w:rsidRPr="00A82398" w:rsidRDefault="00A82398" w:rsidP="008F77E1">
            <w:pPr>
              <w:tabs>
                <w:tab w:val="decimal" w:pos="306"/>
              </w:tabs>
            </w:pPr>
            <w:r w:rsidRPr="00A82398">
              <w:t>(0.40)</w:t>
            </w:r>
          </w:p>
        </w:tc>
        <w:tc>
          <w:tcPr>
            <w:tcW w:w="1152" w:type="dxa"/>
          </w:tcPr>
          <w:p w:rsidR="00A82398" w:rsidRPr="00A82398" w:rsidRDefault="00A82398" w:rsidP="008F77E1">
            <w:pPr>
              <w:tabs>
                <w:tab w:val="decimal" w:pos="306"/>
              </w:tabs>
            </w:pPr>
            <w:r w:rsidRPr="00A82398">
              <w:t>(0.36)</w:t>
            </w:r>
          </w:p>
        </w:tc>
        <w:tc>
          <w:tcPr>
            <w:tcW w:w="1152" w:type="dxa"/>
          </w:tcPr>
          <w:p w:rsidR="00A82398" w:rsidRPr="00A82398" w:rsidRDefault="00A82398" w:rsidP="008F77E1">
            <w:pPr>
              <w:tabs>
                <w:tab w:val="decimal" w:pos="306"/>
              </w:tabs>
            </w:pPr>
            <w:r w:rsidRPr="00A82398">
              <w:t>(0.12)</w:t>
            </w:r>
          </w:p>
        </w:tc>
        <w:tc>
          <w:tcPr>
            <w:tcW w:w="236" w:type="dxa"/>
          </w:tcPr>
          <w:p w:rsidR="00A82398" w:rsidRPr="008F664F" w:rsidRDefault="00A82398" w:rsidP="008F77E1">
            <w:pPr>
              <w:tabs>
                <w:tab w:val="decimal" w:pos="306"/>
                <w:tab w:val="decimal" w:pos="342"/>
              </w:tabs>
            </w:pPr>
          </w:p>
        </w:tc>
        <w:tc>
          <w:tcPr>
            <w:tcW w:w="1152" w:type="dxa"/>
          </w:tcPr>
          <w:p w:rsidR="00A82398" w:rsidRPr="00A82398" w:rsidRDefault="00A82398" w:rsidP="008F77E1">
            <w:pPr>
              <w:tabs>
                <w:tab w:val="decimal" w:pos="306"/>
              </w:tabs>
            </w:pPr>
            <w:r w:rsidRPr="00A82398">
              <w:t>(0.16)</w:t>
            </w:r>
          </w:p>
        </w:tc>
        <w:tc>
          <w:tcPr>
            <w:tcW w:w="1152" w:type="dxa"/>
          </w:tcPr>
          <w:p w:rsidR="00A82398" w:rsidRPr="00A82398" w:rsidRDefault="00A82398" w:rsidP="008F77E1">
            <w:pPr>
              <w:tabs>
                <w:tab w:val="decimal" w:pos="306"/>
              </w:tabs>
            </w:pPr>
            <w:r w:rsidRPr="00A82398">
              <w:t>(0.53)</w:t>
            </w:r>
          </w:p>
        </w:tc>
        <w:tc>
          <w:tcPr>
            <w:tcW w:w="1152" w:type="dxa"/>
          </w:tcPr>
          <w:p w:rsidR="00A82398" w:rsidRPr="00A82398" w:rsidRDefault="00A82398" w:rsidP="008F77E1">
            <w:pPr>
              <w:tabs>
                <w:tab w:val="decimal" w:pos="306"/>
              </w:tabs>
            </w:pPr>
            <w:r w:rsidRPr="00A82398">
              <w:t>(0.20)</w:t>
            </w:r>
          </w:p>
        </w:tc>
      </w:tr>
      <w:tr w:rsidR="00A82398" w:rsidRPr="008F664F" w:rsidTr="008F664F">
        <w:tc>
          <w:tcPr>
            <w:tcW w:w="2538" w:type="dxa"/>
            <w:vMerge w:val="restart"/>
          </w:tcPr>
          <w:p w:rsidR="00A82398" w:rsidRPr="008F664F" w:rsidRDefault="00A82398" w:rsidP="00850AA7">
            <w:pPr>
              <w:spacing w:before="120"/>
              <w:ind w:left="540" w:hanging="540"/>
            </w:pPr>
            <w:r w:rsidRPr="008F664F">
              <w:t>Real exports</w:t>
            </w:r>
          </w:p>
        </w:tc>
        <w:tc>
          <w:tcPr>
            <w:tcW w:w="1152" w:type="dxa"/>
          </w:tcPr>
          <w:p w:rsidR="00A82398" w:rsidRPr="00A82398" w:rsidRDefault="00A82398" w:rsidP="008F77E1">
            <w:pPr>
              <w:tabs>
                <w:tab w:val="decimal" w:pos="306"/>
              </w:tabs>
              <w:spacing w:before="120"/>
            </w:pPr>
            <w:r w:rsidRPr="00A82398">
              <w:t>-0.70</w:t>
            </w:r>
          </w:p>
        </w:tc>
        <w:tc>
          <w:tcPr>
            <w:tcW w:w="1152" w:type="dxa"/>
          </w:tcPr>
          <w:p w:rsidR="00A82398" w:rsidRPr="00A82398" w:rsidRDefault="00A82398" w:rsidP="008F77E1">
            <w:pPr>
              <w:tabs>
                <w:tab w:val="decimal" w:pos="306"/>
              </w:tabs>
              <w:spacing w:before="120"/>
            </w:pPr>
            <w:r w:rsidRPr="00A82398">
              <w:t>-0.24</w:t>
            </w:r>
          </w:p>
        </w:tc>
        <w:tc>
          <w:tcPr>
            <w:tcW w:w="1152" w:type="dxa"/>
          </w:tcPr>
          <w:p w:rsidR="00A82398" w:rsidRPr="00A82398" w:rsidRDefault="00A82398" w:rsidP="008F77E1">
            <w:pPr>
              <w:tabs>
                <w:tab w:val="decimal" w:pos="306"/>
              </w:tabs>
              <w:spacing w:before="120"/>
            </w:pPr>
            <w:r w:rsidRPr="00A82398">
              <w:t>-0.41*</w:t>
            </w:r>
          </w:p>
        </w:tc>
        <w:tc>
          <w:tcPr>
            <w:tcW w:w="236" w:type="dxa"/>
          </w:tcPr>
          <w:p w:rsidR="00A82398" w:rsidRPr="008F664F" w:rsidRDefault="00A82398" w:rsidP="008F77E1">
            <w:pPr>
              <w:tabs>
                <w:tab w:val="decimal" w:pos="306"/>
                <w:tab w:val="decimal" w:pos="342"/>
              </w:tabs>
              <w:spacing w:before="120"/>
            </w:pPr>
          </w:p>
        </w:tc>
        <w:tc>
          <w:tcPr>
            <w:tcW w:w="1152" w:type="dxa"/>
          </w:tcPr>
          <w:p w:rsidR="00A82398" w:rsidRPr="00A82398" w:rsidRDefault="00A82398" w:rsidP="008F77E1">
            <w:pPr>
              <w:tabs>
                <w:tab w:val="decimal" w:pos="306"/>
              </w:tabs>
              <w:spacing w:before="120"/>
            </w:pPr>
            <w:r w:rsidRPr="00A82398">
              <w:t>-0.21</w:t>
            </w:r>
          </w:p>
        </w:tc>
        <w:tc>
          <w:tcPr>
            <w:tcW w:w="1152" w:type="dxa"/>
          </w:tcPr>
          <w:p w:rsidR="00A82398" w:rsidRPr="00A82398" w:rsidRDefault="00A82398" w:rsidP="008F77E1">
            <w:pPr>
              <w:tabs>
                <w:tab w:val="decimal" w:pos="306"/>
              </w:tabs>
              <w:spacing w:before="120"/>
            </w:pPr>
            <w:r w:rsidRPr="00A82398">
              <w:t>0.21</w:t>
            </w:r>
          </w:p>
        </w:tc>
        <w:tc>
          <w:tcPr>
            <w:tcW w:w="1152" w:type="dxa"/>
          </w:tcPr>
          <w:p w:rsidR="00A82398" w:rsidRPr="00A82398" w:rsidRDefault="00A82398" w:rsidP="008F77E1">
            <w:pPr>
              <w:tabs>
                <w:tab w:val="decimal" w:pos="306"/>
              </w:tabs>
              <w:spacing w:before="120"/>
            </w:pPr>
            <w:r w:rsidRPr="00A82398">
              <w:t>-0.15</w:t>
            </w:r>
          </w:p>
        </w:tc>
      </w:tr>
      <w:tr w:rsidR="00A82398" w:rsidRPr="008F664F" w:rsidTr="008F664F">
        <w:tc>
          <w:tcPr>
            <w:tcW w:w="2538" w:type="dxa"/>
            <w:vMerge/>
          </w:tcPr>
          <w:p w:rsidR="00A82398" w:rsidRPr="008F664F" w:rsidRDefault="00A82398" w:rsidP="008F664F">
            <w:pPr>
              <w:ind w:left="540" w:hanging="540"/>
            </w:pPr>
          </w:p>
        </w:tc>
        <w:tc>
          <w:tcPr>
            <w:tcW w:w="1152" w:type="dxa"/>
          </w:tcPr>
          <w:p w:rsidR="00A82398" w:rsidRPr="00A82398" w:rsidRDefault="00A82398" w:rsidP="008F77E1">
            <w:pPr>
              <w:tabs>
                <w:tab w:val="decimal" w:pos="306"/>
              </w:tabs>
            </w:pPr>
            <w:r w:rsidRPr="00A82398">
              <w:t>(0.55)</w:t>
            </w:r>
          </w:p>
        </w:tc>
        <w:tc>
          <w:tcPr>
            <w:tcW w:w="1152" w:type="dxa"/>
          </w:tcPr>
          <w:p w:rsidR="00A82398" w:rsidRPr="00A82398" w:rsidRDefault="00A82398" w:rsidP="008F77E1">
            <w:pPr>
              <w:tabs>
                <w:tab w:val="decimal" w:pos="306"/>
              </w:tabs>
            </w:pPr>
            <w:r w:rsidRPr="00A82398">
              <w:t>(0.51)</w:t>
            </w:r>
          </w:p>
        </w:tc>
        <w:tc>
          <w:tcPr>
            <w:tcW w:w="1152" w:type="dxa"/>
          </w:tcPr>
          <w:p w:rsidR="00A82398" w:rsidRPr="00A82398" w:rsidRDefault="00A82398" w:rsidP="008F77E1">
            <w:pPr>
              <w:tabs>
                <w:tab w:val="decimal" w:pos="306"/>
              </w:tabs>
            </w:pPr>
            <w:r w:rsidRPr="00A82398">
              <w:t>(0.25)</w:t>
            </w:r>
          </w:p>
        </w:tc>
        <w:tc>
          <w:tcPr>
            <w:tcW w:w="236" w:type="dxa"/>
          </w:tcPr>
          <w:p w:rsidR="00A82398" w:rsidRPr="008F664F" w:rsidRDefault="00A82398" w:rsidP="008F77E1">
            <w:pPr>
              <w:tabs>
                <w:tab w:val="decimal" w:pos="306"/>
                <w:tab w:val="decimal" w:pos="342"/>
              </w:tabs>
            </w:pPr>
          </w:p>
        </w:tc>
        <w:tc>
          <w:tcPr>
            <w:tcW w:w="1152" w:type="dxa"/>
          </w:tcPr>
          <w:p w:rsidR="00A82398" w:rsidRPr="00A82398" w:rsidRDefault="00A82398" w:rsidP="008F77E1">
            <w:pPr>
              <w:tabs>
                <w:tab w:val="decimal" w:pos="306"/>
              </w:tabs>
            </w:pPr>
            <w:r w:rsidRPr="00A82398">
              <w:t>(0.75)</w:t>
            </w:r>
          </w:p>
        </w:tc>
        <w:tc>
          <w:tcPr>
            <w:tcW w:w="1152" w:type="dxa"/>
          </w:tcPr>
          <w:p w:rsidR="00A82398" w:rsidRPr="00A82398" w:rsidRDefault="00A82398" w:rsidP="008F77E1">
            <w:pPr>
              <w:tabs>
                <w:tab w:val="decimal" w:pos="306"/>
              </w:tabs>
            </w:pPr>
            <w:r w:rsidRPr="00A82398">
              <w:t>(0.27)</w:t>
            </w:r>
          </w:p>
        </w:tc>
        <w:tc>
          <w:tcPr>
            <w:tcW w:w="1152" w:type="dxa"/>
          </w:tcPr>
          <w:p w:rsidR="00A82398" w:rsidRPr="00A82398" w:rsidRDefault="00A82398" w:rsidP="008F77E1">
            <w:pPr>
              <w:tabs>
                <w:tab w:val="decimal" w:pos="306"/>
              </w:tabs>
            </w:pPr>
            <w:r w:rsidRPr="00A82398">
              <w:t>(0.18)</w:t>
            </w:r>
          </w:p>
        </w:tc>
      </w:tr>
      <w:tr w:rsidR="00A82398" w:rsidRPr="008F664F" w:rsidTr="008F664F">
        <w:tc>
          <w:tcPr>
            <w:tcW w:w="2538" w:type="dxa"/>
            <w:vMerge w:val="restart"/>
          </w:tcPr>
          <w:p w:rsidR="00A82398" w:rsidRPr="008F664F" w:rsidRDefault="00A82398" w:rsidP="00850AA7">
            <w:pPr>
              <w:spacing w:before="120"/>
              <w:ind w:left="540" w:hanging="540"/>
            </w:pPr>
            <w:r w:rsidRPr="008F664F">
              <w:t>Real imports</w:t>
            </w:r>
          </w:p>
        </w:tc>
        <w:tc>
          <w:tcPr>
            <w:tcW w:w="1152" w:type="dxa"/>
          </w:tcPr>
          <w:p w:rsidR="00A82398" w:rsidRPr="00A82398" w:rsidRDefault="00A82398" w:rsidP="008F77E1">
            <w:pPr>
              <w:tabs>
                <w:tab w:val="decimal" w:pos="306"/>
              </w:tabs>
              <w:spacing w:before="120"/>
            </w:pPr>
            <w:r w:rsidRPr="00A82398">
              <w:t>-0.12</w:t>
            </w:r>
          </w:p>
        </w:tc>
        <w:tc>
          <w:tcPr>
            <w:tcW w:w="1152" w:type="dxa"/>
          </w:tcPr>
          <w:p w:rsidR="00A82398" w:rsidRPr="00A82398" w:rsidRDefault="00A82398" w:rsidP="008F77E1">
            <w:pPr>
              <w:tabs>
                <w:tab w:val="decimal" w:pos="306"/>
              </w:tabs>
              <w:spacing w:before="120"/>
            </w:pPr>
            <w:r w:rsidRPr="00A82398">
              <w:t>0.29</w:t>
            </w:r>
          </w:p>
        </w:tc>
        <w:tc>
          <w:tcPr>
            <w:tcW w:w="1152" w:type="dxa"/>
          </w:tcPr>
          <w:p w:rsidR="00A82398" w:rsidRPr="00A82398" w:rsidRDefault="00A82398" w:rsidP="008F77E1">
            <w:pPr>
              <w:tabs>
                <w:tab w:val="decimal" w:pos="306"/>
              </w:tabs>
              <w:spacing w:before="120"/>
            </w:pPr>
            <w:r w:rsidRPr="00A82398">
              <w:t>0.11</w:t>
            </w:r>
          </w:p>
        </w:tc>
        <w:tc>
          <w:tcPr>
            <w:tcW w:w="236" w:type="dxa"/>
          </w:tcPr>
          <w:p w:rsidR="00A82398" w:rsidRPr="008F664F" w:rsidRDefault="00A82398" w:rsidP="008F77E1">
            <w:pPr>
              <w:tabs>
                <w:tab w:val="decimal" w:pos="306"/>
                <w:tab w:val="decimal" w:pos="342"/>
              </w:tabs>
              <w:spacing w:before="120"/>
            </w:pPr>
          </w:p>
        </w:tc>
        <w:tc>
          <w:tcPr>
            <w:tcW w:w="1152" w:type="dxa"/>
          </w:tcPr>
          <w:p w:rsidR="00A82398" w:rsidRPr="00A82398" w:rsidRDefault="00A82398" w:rsidP="008F77E1">
            <w:pPr>
              <w:tabs>
                <w:tab w:val="decimal" w:pos="306"/>
              </w:tabs>
              <w:spacing w:before="120"/>
            </w:pPr>
            <w:r w:rsidRPr="00A82398">
              <w:t>0.51</w:t>
            </w:r>
          </w:p>
        </w:tc>
        <w:tc>
          <w:tcPr>
            <w:tcW w:w="1152" w:type="dxa"/>
          </w:tcPr>
          <w:p w:rsidR="00A82398" w:rsidRPr="00A82398" w:rsidRDefault="00A82398" w:rsidP="008F77E1">
            <w:pPr>
              <w:tabs>
                <w:tab w:val="decimal" w:pos="306"/>
              </w:tabs>
              <w:spacing w:before="120"/>
            </w:pPr>
            <w:r w:rsidRPr="00A82398">
              <w:t>0.65</w:t>
            </w:r>
          </w:p>
        </w:tc>
        <w:tc>
          <w:tcPr>
            <w:tcW w:w="1152" w:type="dxa"/>
          </w:tcPr>
          <w:p w:rsidR="00A82398" w:rsidRPr="00A82398" w:rsidRDefault="00A82398" w:rsidP="008F77E1">
            <w:pPr>
              <w:tabs>
                <w:tab w:val="decimal" w:pos="306"/>
              </w:tabs>
              <w:spacing w:before="120"/>
            </w:pPr>
            <w:r w:rsidRPr="00A82398">
              <w:t>0.26</w:t>
            </w:r>
          </w:p>
        </w:tc>
      </w:tr>
      <w:tr w:rsidR="00A82398" w:rsidRPr="008F664F" w:rsidTr="008F664F">
        <w:tc>
          <w:tcPr>
            <w:tcW w:w="2538" w:type="dxa"/>
            <w:vMerge/>
          </w:tcPr>
          <w:p w:rsidR="00A82398" w:rsidRPr="008F664F" w:rsidRDefault="00A82398" w:rsidP="008F664F">
            <w:pPr>
              <w:ind w:left="540" w:hanging="540"/>
            </w:pPr>
          </w:p>
        </w:tc>
        <w:tc>
          <w:tcPr>
            <w:tcW w:w="1152" w:type="dxa"/>
          </w:tcPr>
          <w:p w:rsidR="00A82398" w:rsidRPr="00A82398" w:rsidRDefault="00A82398" w:rsidP="008F77E1">
            <w:pPr>
              <w:tabs>
                <w:tab w:val="decimal" w:pos="306"/>
              </w:tabs>
            </w:pPr>
            <w:r w:rsidRPr="00A82398">
              <w:t>(0.67)</w:t>
            </w:r>
          </w:p>
        </w:tc>
        <w:tc>
          <w:tcPr>
            <w:tcW w:w="1152" w:type="dxa"/>
          </w:tcPr>
          <w:p w:rsidR="00A82398" w:rsidRPr="00A82398" w:rsidRDefault="00A82398" w:rsidP="008F77E1">
            <w:pPr>
              <w:tabs>
                <w:tab w:val="decimal" w:pos="306"/>
              </w:tabs>
            </w:pPr>
            <w:r w:rsidRPr="00A82398">
              <w:t>(0.51)</w:t>
            </w:r>
          </w:p>
        </w:tc>
        <w:tc>
          <w:tcPr>
            <w:tcW w:w="1152" w:type="dxa"/>
          </w:tcPr>
          <w:p w:rsidR="00A82398" w:rsidRPr="00A82398" w:rsidRDefault="00A82398" w:rsidP="008F77E1">
            <w:pPr>
              <w:tabs>
                <w:tab w:val="decimal" w:pos="306"/>
              </w:tabs>
            </w:pPr>
            <w:r w:rsidRPr="00A82398">
              <w:t>(0.31)</w:t>
            </w:r>
          </w:p>
        </w:tc>
        <w:tc>
          <w:tcPr>
            <w:tcW w:w="236" w:type="dxa"/>
          </w:tcPr>
          <w:p w:rsidR="00A82398" w:rsidRPr="008F664F" w:rsidRDefault="00A82398" w:rsidP="008F77E1">
            <w:pPr>
              <w:tabs>
                <w:tab w:val="decimal" w:pos="306"/>
                <w:tab w:val="decimal" w:pos="342"/>
              </w:tabs>
            </w:pPr>
          </w:p>
        </w:tc>
        <w:tc>
          <w:tcPr>
            <w:tcW w:w="1152" w:type="dxa"/>
          </w:tcPr>
          <w:p w:rsidR="00A82398" w:rsidRPr="00A82398" w:rsidRDefault="00A82398" w:rsidP="008F77E1">
            <w:pPr>
              <w:tabs>
                <w:tab w:val="decimal" w:pos="306"/>
              </w:tabs>
            </w:pPr>
            <w:r w:rsidRPr="00A82398">
              <w:t>(0.60)</w:t>
            </w:r>
          </w:p>
        </w:tc>
        <w:tc>
          <w:tcPr>
            <w:tcW w:w="1152" w:type="dxa"/>
          </w:tcPr>
          <w:p w:rsidR="00A82398" w:rsidRPr="00A82398" w:rsidRDefault="00A82398" w:rsidP="008F77E1">
            <w:pPr>
              <w:tabs>
                <w:tab w:val="decimal" w:pos="306"/>
              </w:tabs>
            </w:pPr>
            <w:r w:rsidRPr="00A82398">
              <w:t>(0.76)</w:t>
            </w:r>
          </w:p>
        </w:tc>
        <w:tc>
          <w:tcPr>
            <w:tcW w:w="1152" w:type="dxa"/>
          </w:tcPr>
          <w:p w:rsidR="00A82398" w:rsidRPr="00A82398" w:rsidRDefault="00A82398" w:rsidP="008F77E1">
            <w:pPr>
              <w:tabs>
                <w:tab w:val="decimal" w:pos="306"/>
              </w:tabs>
            </w:pPr>
            <w:r w:rsidRPr="00A82398">
              <w:t>(0.18)</w:t>
            </w:r>
          </w:p>
        </w:tc>
      </w:tr>
      <w:tr w:rsidR="00A82398" w:rsidRPr="008F664F" w:rsidTr="008F664F">
        <w:tc>
          <w:tcPr>
            <w:tcW w:w="2538" w:type="dxa"/>
            <w:vMerge w:val="restart"/>
          </w:tcPr>
          <w:p w:rsidR="00A82398" w:rsidRPr="008F664F" w:rsidRDefault="00A82398" w:rsidP="00850AA7">
            <w:pPr>
              <w:spacing w:before="120"/>
              <w:ind w:left="540" w:hanging="540"/>
            </w:pPr>
            <w:r w:rsidRPr="008F664F">
              <w:t>Consumer price index</w:t>
            </w:r>
          </w:p>
        </w:tc>
        <w:tc>
          <w:tcPr>
            <w:tcW w:w="1152" w:type="dxa"/>
          </w:tcPr>
          <w:p w:rsidR="00A82398" w:rsidRPr="00A82398" w:rsidRDefault="00A82398" w:rsidP="008F77E1">
            <w:pPr>
              <w:tabs>
                <w:tab w:val="decimal" w:pos="306"/>
              </w:tabs>
              <w:spacing w:before="120"/>
            </w:pPr>
            <w:r w:rsidRPr="00A82398">
              <w:t>-0.12</w:t>
            </w:r>
          </w:p>
        </w:tc>
        <w:tc>
          <w:tcPr>
            <w:tcW w:w="1152" w:type="dxa"/>
          </w:tcPr>
          <w:p w:rsidR="00A82398" w:rsidRPr="00A82398" w:rsidRDefault="00A82398" w:rsidP="008F77E1">
            <w:pPr>
              <w:tabs>
                <w:tab w:val="decimal" w:pos="306"/>
              </w:tabs>
              <w:spacing w:before="120"/>
            </w:pPr>
            <w:r w:rsidRPr="00A82398">
              <w:t>0.07</w:t>
            </w:r>
          </w:p>
        </w:tc>
        <w:tc>
          <w:tcPr>
            <w:tcW w:w="1152" w:type="dxa"/>
          </w:tcPr>
          <w:p w:rsidR="00A82398" w:rsidRPr="00A82398" w:rsidRDefault="00A82398" w:rsidP="008F77E1">
            <w:pPr>
              <w:tabs>
                <w:tab w:val="decimal" w:pos="306"/>
              </w:tabs>
              <w:spacing w:before="120"/>
            </w:pPr>
            <w:r w:rsidRPr="00A82398">
              <w:t>-0.02</w:t>
            </w:r>
          </w:p>
        </w:tc>
        <w:tc>
          <w:tcPr>
            <w:tcW w:w="236" w:type="dxa"/>
          </w:tcPr>
          <w:p w:rsidR="00A82398" w:rsidRPr="008F664F" w:rsidRDefault="00A82398" w:rsidP="008F77E1">
            <w:pPr>
              <w:tabs>
                <w:tab w:val="decimal" w:pos="306"/>
                <w:tab w:val="decimal" w:pos="342"/>
              </w:tabs>
              <w:spacing w:before="120"/>
            </w:pPr>
          </w:p>
        </w:tc>
        <w:tc>
          <w:tcPr>
            <w:tcW w:w="1152" w:type="dxa"/>
          </w:tcPr>
          <w:p w:rsidR="00A82398" w:rsidRPr="00A82398" w:rsidRDefault="00A82398" w:rsidP="008F77E1">
            <w:pPr>
              <w:tabs>
                <w:tab w:val="decimal" w:pos="306"/>
              </w:tabs>
              <w:spacing w:before="120"/>
            </w:pPr>
            <w:r w:rsidRPr="00A82398">
              <w:t>0.06</w:t>
            </w:r>
          </w:p>
        </w:tc>
        <w:tc>
          <w:tcPr>
            <w:tcW w:w="1152" w:type="dxa"/>
          </w:tcPr>
          <w:p w:rsidR="00A82398" w:rsidRPr="00A82398" w:rsidRDefault="00A82398" w:rsidP="008F77E1">
            <w:pPr>
              <w:tabs>
                <w:tab w:val="decimal" w:pos="306"/>
              </w:tabs>
              <w:spacing w:before="120"/>
            </w:pPr>
            <w:r w:rsidRPr="00A82398">
              <w:t>0.24***</w:t>
            </w:r>
          </w:p>
        </w:tc>
        <w:tc>
          <w:tcPr>
            <w:tcW w:w="1152" w:type="dxa"/>
          </w:tcPr>
          <w:p w:rsidR="00A82398" w:rsidRPr="00A82398" w:rsidRDefault="00A82398" w:rsidP="008F77E1">
            <w:pPr>
              <w:tabs>
                <w:tab w:val="decimal" w:pos="306"/>
              </w:tabs>
              <w:spacing w:before="120"/>
            </w:pPr>
            <w:r w:rsidRPr="00A82398">
              <w:t>0.04</w:t>
            </w:r>
          </w:p>
        </w:tc>
      </w:tr>
      <w:tr w:rsidR="00A82398" w:rsidRPr="008F664F" w:rsidTr="008F664F">
        <w:tc>
          <w:tcPr>
            <w:tcW w:w="2538" w:type="dxa"/>
            <w:vMerge/>
          </w:tcPr>
          <w:p w:rsidR="00A82398" w:rsidRPr="008F664F" w:rsidRDefault="00A82398" w:rsidP="008F664F">
            <w:pPr>
              <w:ind w:left="540" w:hanging="540"/>
            </w:pPr>
          </w:p>
        </w:tc>
        <w:tc>
          <w:tcPr>
            <w:tcW w:w="1152" w:type="dxa"/>
          </w:tcPr>
          <w:p w:rsidR="00A82398" w:rsidRPr="00A82398" w:rsidRDefault="00A82398" w:rsidP="008F77E1">
            <w:pPr>
              <w:tabs>
                <w:tab w:val="decimal" w:pos="306"/>
              </w:tabs>
            </w:pPr>
            <w:r w:rsidRPr="00A82398">
              <w:t>(0.25)</w:t>
            </w:r>
          </w:p>
        </w:tc>
        <w:tc>
          <w:tcPr>
            <w:tcW w:w="1152" w:type="dxa"/>
          </w:tcPr>
          <w:p w:rsidR="00A82398" w:rsidRPr="00A82398" w:rsidRDefault="00A82398" w:rsidP="008F77E1">
            <w:pPr>
              <w:tabs>
                <w:tab w:val="decimal" w:pos="306"/>
              </w:tabs>
            </w:pPr>
            <w:r w:rsidRPr="00A82398">
              <w:t>(0.14)</w:t>
            </w:r>
          </w:p>
        </w:tc>
        <w:tc>
          <w:tcPr>
            <w:tcW w:w="1152" w:type="dxa"/>
          </w:tcPr>
          <w:p w:rsidR="00A82398" w:rsidRPr="00A82398" w:rsidRDefault="00A82398" w:rsidP="008F77E1">
            <w:pPr>
              <w:tabs>
                <w:tab w:val="decimal" w:pos="306"/>
              </w:tabs>
            </w:pPr>
            <w:r w:rsidRPr="00A82398">
              <w:t>(0.10)</w:t>
            </w:r>
          </w:p>
        </w:tc>
        <w:tc>
          <w:tcPr>
            <w:tcW w:w="236" w:type="dxa"/>
          </w:tcPr>
          <w:p w:rsidR="00A82398" w:rsidRPr="008F664F" w:rsidRDefault="00A82398" w:rsidP="008F77E1">
            <w:pPr>
              <w:tabs>
                <w:tab w:val="decimal" w:pos="306"/>
                <w:tab w:val="decimal" w:pos="342"/>
              </w:tabs>
            </w:pPr>
          </w:p>
        </w:tc>
        <w:tc>
          <w:tcPr>
            <w:tcW w:w="1152" w:type="dxa"/>
          </w:tcPr>
          <w:p w:rsidR="00A82398" w:rsidRPr="00A82398" w:rsidRDefault="00A82398" w:rsidP="008F77E1">
            <w:pPr>
              <w:tabs>
                <w:tab w:val="decimal" w:pos="306"/>
              </w:tabs>
            </w:pPr>
            <w:r w:rsidRPr="00A82398">
              <w:t>(0.29)</w:t>
            </w:r>
          </w:p>
        </w:tc>
        <w:tc>
          <w:tcPr>
            <w:tcW w:w="1152" w:type="dxa"/>
          </w:tcPr>
          <w:p w:rsidR="00A82398" w:rsidRPr="00A82398" w:rsidRDefault="00A82398" w:rsidP="008F77E1">
            <w:pPr>
              <w:tabs>
                <w:tab w:val="decimal" w:pos="306"/>
              </w:tabs>
            </w:pPr>
            <w:r w:rsidRPr="00A82398">
              <w:t>(0.08)</w:t>
            </w:r>
          </w:p>
        </w:tc>
        <w:tc>
          <w:tcPr>
            <w:tcW w:w="1152" w:type="dxa"/>
          </w:tcPr>
          <w:p w:rsidR="00A82398" w:rsidRPr="00A82398" w:rsidRDefault="00A82398" w:rsidP="008F77E1">
            <w:pPr>
              <w:tabs>
                <w:tab w:val="decimal" w:pos="306"/>
              </w:tabs>
            </w:pPr>
            <w:r w:rsidRPr="00A82398">
              <w:t>(0.12)</w:t>
            </w:r>
          </w:p>
        </w:tc>
      </w:tr>
      <w:tr w:rsidR="00A82398" w:rsidRPr="008F664F" w:rsidTr="008F664F">
        <w:tc>
          <w:tcPr>
            <w:tcW w:w="2538" w:type="dxa"/>
            <w:vMerge w:val="restart"/>
          </w:tcPr>
          <w:p w:rsidR="00A82398" w:rsidRPr="008F664F" w:rsidRDefault="00A82398" w:rsidP="00850AA7">
            <w:pPr>
              <w:spacing w:before="120"/>
              <w:ind w:left="540" w:hanging="540"/>
            </w:pPr>
            <w:r w:rsidRPr="008F664F">
              <w:t>GDP deflator</w:t>
            </w:r>
          </w:p>
        </w:tc>
        <w:tc>
          <w:tcPr>
            <w:tcW w:w="1152" w:type="dxa"/>
          </w:tcPr>
          <w:p w:rsidR="00A82398" w:rsidRPr="00A82398" w:rsidRDefault="00A82398" w:rsidP="008F77E1">
            <w:pPr>
              <w:tabs>
                <w:tab w:val="decimal" w:pos="306"/>
              </w:tabs>
              <w:spacing w:before="120"/>
            </w:pPr>
            <w:r w:rsidRPr="00A82398">
              <w:t>0.05</w:t>
            </w:r>
          </w:p>
        </w:tc>
        <w:tc>
          <w:tcPr>
            <w:tcW w:w="1152" w:type="dxa"/>
          </w:tcPr>
          <w:p w:rsidR="00A82398" w:rsidRPr="00A82398" w:rsidRDefault="00A82398" w:rsidP="008F77E1">
            <w:pPr>
              <w:tabs>
                <w:tab w:val="decimal" w:pos="306"/>
              </w:tabs>
              <w:spacing w:before="120"/>
            </w:pPr>
            <w:r w:rsidRPr="00A82398">
              <w:t>0.17</w:t>
            </w:r>
          </w:p>
        </w:tc>
        <w:tc>
          <w:tcPr>
            <w:tcW w:w="1152" w:type="dxa"/>
          </w:tcPr>
          <w:p w:rsidR="00A82398" w:rsidRPr="00A82398" w:rsidRDefault="00A82398" w:rsidP="008F77E1">
            <w:pPr>
              <w:tabs>
                <w:tab w:val="decimal" w:pos="306"/>
              </w:tabs>
              <w:spacing w:before="120"/>
            </w:pPr>
            <w:r w:rsidRPr="00A82398">
              <w:t>0.12</w:t>
            </w:r>
          </w:p>
        </w:tc>
        <w:tc>
          <w:tcPr>
            <w:tcW w:w="236" w:type="dxa"/>
          </w:tcPr>
          <w:p w:rsidR="00A82398" w:rsidRPr="008F664F" w:rsidRDefault="00A82398" w:rsidP="008F77E1">
            <w:pPr>
              <w:tabs>
                <w:tab w:val="decimal" w:pos="306"/>
                <w:tab w:val="decimal" w:pos="342"/>
              </w:tabs>
              <w:spacing w:before="120"/>
            </w:pPr>
          </w:p>
        </w:tc>
        <w:tc>
          <w:tcPr>
            <w:tcW w:w="1152" w:type="dxa"/>
          </w:tcPr>
          <w:p w:rsidR="00A82398" w:rsidRPr="00A82398" w:rsidRDefault="00A82398" w:rsidP="008F77E1">
            <w:pPr>
              <w:tabs>
                <w:tab w:val="decimal" w:pos="306"/>
              </w:tabs>
              <w:spacing w:before="120"/>
            </w:pPr>
            <w:r w:rsidRPr="00A82398">
              <w:t>0.44*</w:t>
            </w:r>
          </w:p>
        </w:tc>
        <w:tc>
          <w:tcPr>
            <w:tcW w:w="1152" w:type="dxa"/>
          </w:tcPr>
          <w:p w:rsidR="00A82398" w:rsidRPr="00A82398" w:rsidRDefault="00A82398" w:rsidP="008F77E1">
            <w:pPr>
              <w:tabs>
                <w:tab w:val="decimal" w:pos="306"/>
              </w:tabs>
              <w:spacing w:before="120"/>
            </w:pPr>
            <w:r w:rsidRPr="00A82398">
              <w:t>0.37</w:t>
            </w:r>
          </w:p>
        </w:tc>
        <w:tc>
          <w:tcPr>
            <w:tcW w:w="1152" w:type="dxa"/>
          </w:tcPr>
          <w:p w:rsidR="00A82398" w:rsidRPr="00A82398" w:rsidRDefault="00A82398" w:rsidP="008F77E1">
            <w:pPr>
              <w:tabs>
                <w:tab w:val="decimal" w:pos="306"/>
              </w:tabs>
              <w:spacing w:before="120"/>
            </w:pPr>
            <w:r w:rsidRPr="00A82398">
              <w:t>0.21*</w:t>
            </w:r>
          </w:p>
        </w:tc>
      </w:tr>
      <w:tr w:rsidR="00A82398" w:rsidTr="008F664F">
        <w:tc>
          <w:tcPr>
            <w:tcW w:w="2538" w:type="dxa"/>
            <w:vMerge/>
            <w:tcBorders>
              <w:bottom w:val="double" w:sz="4" w:space="0" w:color="auto"/>
            </w:tcBorders>
          </w:tcPr>
          <w:p w:rsidR="00A82398" w:rsidRPr="008F664F" w:rsidRDefault="00A82398" w:rsidP="008F664F"/>
        </w:tc>
        <w:tc>
          <w:tcPr>
            <w:tcW w:w="1152" w:type="dxa"/>
            <w:tcBorders>
              <w:bottom w:val="double" w:sz="4" w:space="0" w:color="auto"/>
            </w:tcBorders>
          </w:tcPr>
          <w:p w:rsidR="00A82398" w:rsidRPr="00A82398" w:rsidRDefault="00A82398" w:rsidP="008F77E1">
            <w:pPr>
              <w:tabs>
                <w:tab w:val="decimal" w:pos="306"/>
              </w:tabs>
            </w:pPr>
            <w:r w:rsidRPr="00A82398">
              <w:t>(0.24)</w:t>
            </w:r>
          </w:p>
        </w:tc>
        <w:tc>
          <w:tcPr>
            <w:tcW w:w="1152" w:type="dxa"/>
            <w:tcBorders>
              <w:bottom w:val="double" w:sz="4" w:space="0" w:color="auto"/>
            </w:tcBorders>
          </w:tcPr>
          <w:p w:rsidR="00A82398" w:rsidRPr="00A82398" w:rsidRDefault="00A82398" w:rsidP="008F77E1">
            <w:pPr>
              <w:tabs>
                <w:tab w:val="decimal" w:pos="306"/>
              </w:tabs>
            </w:pPr>
            <w:r w:rsidRPr="00A82398">
              <w:t>(0.23)</w:t>
            </w:r>
          </w:p>
        </w:tc>
        <w:tc>
          <w:tcPr>
            <w:tcW w:w="1152" w:type="dxa"/>
            <w:tcBorders>
              <w:bottom w:val="double" w:sz="4" w:space="0" w:color="auto"/>
            </w:tcBorders>
          </w:tcPr>
          <w:p w:rsidR="00A82398" w:rsidRPr="00A82398" w:rsidRDefault="00A82398" w:rsidP="008F77E1">
            <w:pPr>
              <w:tabs>
                <w:tab w:val="decimal" w:pos="306"/>
              </w:tabs>
            </w:pPr>
            <w:r w:rsidRPr="00A82398">
              <w:t>(0.08)</w:t>
            </w:r>
          </w:p>
        </w:tc>
        <w:tc>
          <w:tcPr>
            <w:tcW w:w="236" w:type="dxa"/>
            <w:tcBorders>
              <w:bottom w:val="double" w:sz="4" w:space="0" w:color="auto"/>
            </w:tcBorders>
          </w:tcPr>
          <w:p w:rsidR="00A82398" w:rsidRPr="008F664F" w:rsidRDefault="00A82398" w:rsidP="008F77E1">
            <w:pPr>
              <w:tabs>
                <w:tab w:val="decimal" w:pos="306"/>
                <w:tab w:val="decimal" w:pos="342"/>
              </w:tabs>
            </w:pPr>
          </w:p>
        </w:tc>
        <w:tc>
          <w:tcPr>
            <w:tcW w:w="1152" w:type="dxa"/>
            <w:tcBorders>
              <w:bottom w:val="double" w:sz="4" w:space="0" w:color="auto"/>
            </w:tcBorders>
          </w:tcPr>
          <w:p w:rsidR="00A82398" w:rsidRPr="00A82398" w:rsidRDefault="00A82398" w:rsidP="008F77E1">
            <w:pPr>
              <w:tabs>
                <w:tab w:val="decimal" w:pos="306"/>
              </w:tabs>
            </w:pPr>
            <w:r w:rsidRPr="00A82398">
              <w:t>(0.25)</w:t>
            </w:r>
          </w:p>
        </w:tc>
        <w:tc>
          <w:tcPr>
            <w:tcW w:w="1152" w:type="dxa"/>
            <w:tcBorders>
              <w:bottom w:val="double" w:sz="4" w:space="0" w:color="auto"/>
            </w:tcBorders>
          </w:tcPr>
          <w:p w:rsidR="00A82398" w:rsidRPr="00A82398" w:rsidRDefault="00A82398" w:rsidP="008F77E1">
            <w:pPr>
              <w:tabs>
                <w:tab w:val="decimal" w:pos="306"/>
              </w:tabs>
            </w:pPr>
            <w:r w:rsidRPr="00A82398">
              <w:t>(0.24)</w:t>
            </w:r>
          </w:p>
        </w:tc>
        <w:tc>
          <w:tcPr>
            <w:tcW w:w="1152" w:type="dxa"/>
            <w:tcBorders>
              <w:bottom w:val="double" w:sz="4" w:space="0" w:color="auto"/>
            </w:tcBorders>
          </w:tcPr>
          <w:p w:rsidR="00A82398" w:rsidRPr="00A82398" w:rsidRDefault="00A82398" w:rsidP="008F77E1">
            <w:pPr>
              <w:tabs>
                <w:tab w:val="decimal" w:pos="306"/>
              </w:tabs>
            </w:pPr>
            <w:r w:rsidRPr="00A82398">
              <w:t>(0.12)</w:t>
            </w:r>
          </w:p>
        </w:tc>
      </w:tr>
    </w:tbl>
    <w:p w:rsidR="008F664F" w:rsidRDefault="00120AF6" w:rsidP="008F664F">
      <w:pPr>
        <w:rPr>
          <w:sz w:val="22"/>
          <w:szCs w:val="22"/>
        </w:rPr>
      </w:pPr>
      <w:r w:rsidRPr="004720B0">
        <w:rPr>
          <w:sz w:val="22"/>
          <w:szCs w:val="22"/>
        </w:rPr>
        <w:t xml:space="preserve">Notes: The table report percent response of </w:t>
      </w:r>
      <w:r w:rsidR="00850AA7" w:rsidRPr="004720B0">
        <w:rPr>
          <w:sz w:val="22"/>
          <w:szCs w:val="22"/>
        </w:rPr>
        <w:t xml:space="preserve">variables indicated in the left column. For unemployment, columns (4)-(6) show the minimal response. </w:t>
      </w:r>
      <w:r w:rsidR="00F5530F" w:rsidRPr="004720B0">
        <w:rPr>
          <w:sz w:val="22"/>
          <w:szCs w:val="22"/>
        </w:rPr>
        <w:t xml:space="preserve">Mean and maximum responses are calculated over three years. </w:t>
      </w:r>
    </w:p>
    <w:p w:rsidR="00A82398" w:rsidRDefault="00A82398" w:rsidP="008F664F">
      <w:pPr>
        <w:rPr>
          <w:sz w:val="22"/>
          <w:szCs w:val="22"/>
        </w:rPr>
      </w:pPr>
    </w:p>
    <w:p w:rsidR="00120AF6" w:rsidRDefault="00120AF6" w:rsidP="008F664F"/>
    <w:p w:rsidR="00850AA7" w:rsidRDefault="00850AA7">
      <w:pPr>
        <w:spacing w:after="200" w:line="276" w:lineRule="auto"/>
      </w:pPr>
      <w:r>
        <w:br w:type="page"/>
      </w:r>
    </w:p>
    <w:p w:rsidR="00850AA7" w:rsidRDefault="00850AA7" w:rsidP="008F664F"/>
    <w:p w:rsidR="00120AF6" w:rsidRDefault="00120AF6" w:rsidP="008F664F"/>
    <w:p w:rsidR="00850AA7" w:rsidRPr="00850AA7" w:rsidRDefault="00850AA7" w:rsidP="00850AA7">
      <w:pPr>
        <w:pStyle w:val="Caption"/>
        <w:keepNext/>
        <w:rPr>
          <w:sz w:val="22"/>
          <w:szCs w:val="22"/>
        </w:rPr>
      </w:pPr>
      <w:proofErr w:type="gramStart"/>
      <w:r w:rsidRPr="00850AA7">
        <w:rPr>
          <w:sz w:val="22"/>
          <w:szCs w:val="22"/>
        </w:rPr>
        <w:t xml:space="preserve">Table </w:t>
      </w:r>
      <w:r w:rsidR="00872107">
        <w:rPr>
          <w:sz w:val="22"/>
          <w:szCs w:val="22"/>
        </w:rPr>
        <w:t>2.</w:t>
      </w:r>
      <w:proofErr w:type="gramEnd"/>
      <w:r w:rsidR="00872107" w:rsidRPr="00850AA7">
        <w:rPr>
          <w:sz w:val="22"/>
          <w:szCs w:val="22"/>
        </w:rPr>
        <w:t xml:space="preserve"> </w:t>
      </w:r>
      <w:r w:rsidRPr="00850AA7">
        <w:rPr>
          <w:sz w:val="22"/>
          <w:szCs w:val="22"/>
        </w:rPr>
        <w:t>Mean and maximum response to an unanticipated one percent government spending shock</w:t>
      </w:r>
      <w:r>
        <w:rPr>
          <w:sz w:val="22"/>
          <w:szCs w:val="22"/>
        </w:rPr>
        <w:t>, control for year fixed effects</w:t>
      </w:r>
      <w:r w:rsidRPr="00850AA7">
        <w:rPr>
          <w:sz w:val="22"/>
          <w:szCs w:val="22"/>
        </w:rPr>
        <w:t>.</w:t>
      </w:r>
    </w:p>
    <w:tbl>
      <w:tblPr>
        <w:tblStyle w:val="TableGrid"/>
        <w:tblW w:w="9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38"/>
        <w:gridCol w:w="1152"/>
        <w:gridCol w:w="1152"/>
        <w:gridCol w:w="1152"/>
        <w:gridCol w:w="236"/>
        <w:gridCol w:w="1152"/>
        <w:gridCol w:w="1152"/>
        <w:gridCol w:w="1152"/>
      </w:tblGrid>
      <w:tr w:rsidR="00120AF6" w:rsidRPr="008F664F" w:rsidTr="006C05F2">
        <w:tc>
          <w:tcPr>
            <w:tcW w:w="2538" w:type="dxa"/>
            <w:tcBorders>
              <w:top w:val="double" w:sz="4" w:space="0" w:color="auto"/>
            </w:tcBorders>
          </w:tcPr>
          <w:p w:rsidR="00120AF6" w:rsidRPr="008F664F" w:rsidRDefault="00120AF6" w:rsidP="006C05F2"/>
        </w:tc>
        <w:tc>
          <w:tcPr>
            <w:tcW w:w="3456" w:type="dxa"/>
            <w:gridSpan w:val="3"/>
            <w:tcBorders>
              <w:top w:val="double" w:sz="4" w:space="0" w:color="auto"/>
              <w:bottom w:val="single" w:sz="4" w:space="0" w:color="auto"/>
            </w:tcBorders>
          </w:tcPr>
          <w:p w:rsidR="00120AF6" w:rsidRPr="008F664F" w:rsidRDefault="00120AF6" w:rsidP="006C05F2">
            <w:pPr>
              <w:jc w:val="center"/>
            </w:pPr>
            <w:r>
              <w:t>Mean response</w:t>
            </w:r>
          </w:p>
        </w:tc>
        <w:tc>
          <w:tcPr>
            <w:tcW w:w="236" w:type="dxa"/>
            <w:tcBorders>
              <w:top w:val="double" w:sz="4" w:space="0" w:color="auto"/>
            </w:tcBorders>
          </w:tcPr>
          <w:p w:rsidR="00120AF6" w:rsidRPr="008F664F" w:rsidRDefault="00120AF6" w:rsidP="006C05F2">
            <w:pPr>
              <w:jc w:val="center"/>
            </w:pPr>
          </w:p>
        </w:tc>
        <w:tc>
          <w:tcPr>
            <w:tcW w:w="3456" w:type="dxa"/>
            <w:gridSpan w:val="3"/>
            <w:tcBorders>
              <w:top w:val="double" w:sz="4" w:space="0" w:color="auto"/>
              <w:bottom w:val="single" w:sz="4" w:space="0" w:color="auto"/>
            </w:tcBorders>
          </w:tcPr>
          <w:p w:rsidR="00120AF6" w:rsidRPr="008F664F" w:rsidRDefault="00120AF6" w:rsidP="006C05F2">
            <w:pPr>
              <w:jc w:val="center"/>
            </w:pPr>
            <w:r>
              <w:t>Max response</w:t>
            </w:r>
          </w:p>
        </w:tc>
      </w:tr>
      <w:tr w:rsidR="00120AF6" w:rsidRPr="008F664F" w:rsidTr="006C05F2">
        <w:tc>
          <w:tcPr>
            <w:tcW w:w="2538" w:type="dxa"/>
          </w:tcPr>
          <w:p w:rsidR="00120AF6" w:rsidRPr="008F664F" w:rsidRDefault="00120AF6" w:rsidP="006C05F2"/>
        </w:tc>
        <w:tc>
          <w:tcPr>
            <w:tcW w:w="1152" w:type="dxa"/>
            <w:tcBorders>
              <w:top w:val="single" w:sz="4" w:space="0" w:color="auto"/>
            </w:tcBorders>
          </w:tcPr>
          <w:p w:rsidR="00120AF6" w:rsidRPr="008F664F" w:rsidRDefault="00120AF6" w:rsidP="006C05F2">
            <w:pPr>
              <w:jc w:val="center"/>
            </w:pPr>
            <w:r>
              <w:t>Recession</w:t>
            </w:r>
          </w:p>
        </w:tc>
        <w:tc>
          <w:tcPr>
            <w:tcW w:w="1152" w:type="dxa"/>
            <w:tcBorders>
              <w:top w:val="single" w:sz="4" w:space="0" w:color="auto"/>
            </w:tcBorders>
          </w:tcPr>
          <w:p w:rsidR="00120AF6" w:rsidRPr="008F664F" w:rsidRDefault="00120AF6" w:rsidP="006C05F2">
            <w:pPr>
              <w:jc w:val="center"/>
            </w:pPr>
            <w:r>
              <w:t>Expansion</w:t>
            </w:r>
          </w:p>
        </w:tc>
        <w:tc>
          <w:tcPr>
            <w:tcW w:w="1152" w:type="dxa"/>
            <w:tcBorders>
              <w:top w:val="single" w:sz="4" w:space="0" w:color="auto"/>
            </w:tcBorders>
          </w:tcPr>
          <w:p w:rsidR="00120AF6" w:rsidRPr="008F664F" w:rsidRDefault="00120AF6" w:rsidP="006C05F2">
            <w:pPr>
              <w:jc w:val="center"/>
            </w:pPr>
            <w:r>
              <w:t>Linear</w:t>
            </w:r>
          </w:p>
        </w:tc>
        <w:tc>
          <w:tcPr>
            <w:tcW w:w="236" w:type="dxa"/>
          </w:tcPr>
          <w:p w:rsidR="00120AF6" w:rsidRPr="008F664F" w:rsidRDefault="00120AF6" w:rsidP="006C05F2">
            <w:pPr>
              <w:jc w:val="center"/>
            </w:pPr>
          </w:p>
        </w:tc>
        <w:tc>
          <w:tcPr>
            <w:tcW w:w="1152" w:type="dxa"/>
            <w:tcBorders>
              <w:top w:val="single" w:sz="4" w:space="0" w:color="auto"/>
            </w:tcBorders>
          </w:tcPr>
          <w:p w:rsidR="00120AF6" w:rsidRPr="008F664F" w:rsidRDefault="00120AF6" w:rsidP="006C05F2">
            <w:pPr>
              <w:jc w:val="center"/>
            </w:pPr>
            <w:r>
              <w:t>Recession</w:t>
            </w:r>
          </w:p>
        </w:tc>
        <w:tc>
          <w:tcPr>
            <w:tcW w:w="1152" w:type="dxa"/>
            <w:tcBorders>
              <w:top w:val="single" w:sz="4" w:space="0" w:color="auto"/>
            </w:tcBorders>
          </w:tcPr>
          <w:p w:rsidR="00120AF6" w:rsidRPr="008F664F" w:rsidRDefault="00120AF6" w:rsidP="006C05F2">
            <w:pPr>
              <w:jc w:val="center"/>
            </w:pPr>
            <w:r>
              <w:t>Expansion</w:t>
            </w:r>
          </w:p>
        </w:tc>
        <w:tc>
          <w:tcPr>
            <w:tcW w:w="1152" w:type="dxa"/>
            <w:tcBorders>
              <w:top w:val="single" w:sz="4" w:space="0" w:color="auto"/>
            </w:tcBorders>
          </w:tcPr>
          <w:p w:rsidR="00120AF6" w:rsidRPr="008F664F" w:rsidRDefault="00120AF6" w:rsidP="006C05F2">
            <w:pPr>
              <w:jc w:val="center"/>
            </w:pPr>
            <w:r>
              <w:t>Linear</w:t>
            </w:r>
          </w:p>
        </w:tc>
      </w:tr>
      <w:tr w:rsidR="00120AF6" w:rsidRPr="008F664F" w:rsidTr="006C05F2">
        <w:tc>
          <w:tcPr>
            <w:tcW w:w="2538" w:type="dxa"/>
            <w:tcBorders>
              <w:bottom w:val="double" w:sz="4" w:space="0" w:color="auto"/>
            </w:tcBorders>
          </w:tcPr>
          <w:p w:rsidR="00120AF6" w:rsidRPr="008F664F" w:rsidRDefault="00120AF6" w:rsidP="006C05F2"/>
        </w:tc>
        <w:tc>
          <w:tcPr>
            <w:tcW w:w="1152" w:type="dxa"/>
            <w:tcBorders>
              <w:bottom w:val="double" w:sz="4" w:space="0" w:color="auto"/>
            </w:tcBorders>
          </w:tcPr>
          <w:p w:rsidR="00120AF6" w:rsidRPr="008F664F" w:rsidRDefault="00120AF6" w:rsidP="006C05F2">
            <w:pPr>
              <w:jc w:val="center"/>
            </w:pPr>
            <w:r>
              <w:t>(1)</w:t>
            </w:r>
          </w:p>
        </w:tc>
        <w:tc>
          <w:tcPr>
            <w:tcW w:w="1152" w:type="dxa"/>
            <w:tcBorders>
              <w:bottom w:val="double" w:sz="4" w:space="0" w:color="auto"/>
            </w:tcBorders>
          </w:tcPr>
          <w:p w:rsidR="00120AF6" w:rsidRPr="008F664F" w:rsidRDefault="00120AF6" w:rsidP="006C05F2">
            <w:pPr>
              <w:jc w:val="center"/>
            </w:pPr>
            <w:r>
              <w:t>(2)</w:t>
            </w:r>
          </w:p>
        </w:tc>
        <w:tc>
          <w:tcPr>
            <w:tcW w:w="1152" w:type="dxa"/>
            <w:tcBorders>
              <w:bottom w:val="double" w:sz="4" w:space="0" w:color="auto"/>
            </w:tcBorders>
          </w:tcPr>
          <w:p w:rsidR="00120AF6" w:rsidRPr="008F664F" w:rsidRDefault="00120AF6" w:rsidP="006C05F2">
            <w:pPr>
              <w:jc w:val="center"/>
            </w:pPr>
            <w:r>
              <w:t>(3)</w:t>
            </w:r>
          </w:p>
        </w:tc>
        <w:tc>
          <w:tcPr>
            <w:tcW w:w="236" w:type="dxa"/>
            <w:tcBorders>
              <w:bottom w:val="double" w:sz="4" w:space="0" w:color="auto"/>
            </w:tcBorders>
          </w:tcPr>
          <w:p w:rsidR="00120AF6" w:rsidRPr="008F664F" w:rsidRDefault="00120AF6" w:rsidP="006C05F2">
            <w:pPr>
              <w:jc w:val="center"/>
            </w:pPr>
          </w:p>
        </w:tc>
        <w:tc>
          <w:tcPr>
            <w:tcW w:w="1152" w:type="dxa"/>
            <w:tcBorders>
              <w:bottom w:val="double" w:sz="4" w:space="0" w:color="auto"/>
            </w:tcBorders>
          </w:tcPr>
          <w:p w:rsidR="00120AF6" w:rsidRPr="008F664F" w:rsidRDefault="00120AF6" w:rsidP="006C05F2">
            <w:pPr>
              <w:jc w:val="center"/>
            </w:pPr>
            <w:r>
              <w:t>(4)</w:t>
            </w:r>
          </w:p>
        </w:tc>
        <w:tc>
          <w:tcPr>
            <w:tcW w:w="1152" w:type="dxa"/>
            <w:tcBorders>
              <w:bottom w:val="double" w:sz="4" w:space="0" w:color="auto"/>
            </w:tcBorders>
          </w:tcPr>
          <w:p w:rsidR="00120AF6" w:rsidRPr="008F664F" w:rsidRDefault="00120AF6" w:rsidP="006C05F2">
            <w:pPr>
              <w:jc w:val="center"/>
            </w:pPr>
            <w:r>
              <w:t>(5)</w:t>
            </w:r>
          </w:p>
        </w:tc>
        <w:tc>
          <w:tcPr>
            <w:tcW w:w="1152" w:type="dxa"/>
            <w:tcBorders>
              <w:bottom w:val="double" w:sz="4" w:space="0" w:color="auto"/>
            </w:tcBorders>
          </w:tcPr>
          <w:p w:rsidR="00120AF6" w:rsidRPr="008F664F" w:rsidRDefault="00120AF6" w:rsidP="006C05F2">
            <w:pPr>
              <w:jc w:val="center"/>
            </w:pPr>
            <w:r>
              <w:t>(6)</w:t>
            </w:r>
          </w:p>
        </w:tc>
      </w:tr>
      <w:tr w:rsidR="00A82398" w:rsidRPr="008F664F" w:rsidTr="006C05F2">
        <w:tc>
          <w:tcPr>
            <w:tcW w:w="2538" w:type="dxa"/>
            <w:vMerge w:val="restart"/>
            <w:tcBorders>
              <w:top w:val="double" w:sz="4" w:space="0" w:color="auto"/>
            </w:tcBorders>
          </w:tcPr>
          <w:p w:rsidR="00A82398" w:rsidRPr="008F664F" w:rsidRDefault="00A82398" w:rsidP="008F77E1">
            <w:pPr>
              <w:spacing w:before="120"/>
              <w:ind w:left="547" w:hanging="547"/>
            </w:pPr>
            <w:r w:rsidRPr="008F664F">
              <w:t>Real GDP</w:t>
            </w:r>
          </w:p>
        </w:tc>
        <w:tc>
          <w:tcPr>
            <w:tcW w:w="1152" w:type="dxa"/>
            <w:tcBorders>
              <w:top w:val="double" w:sz="4" w:space="0" w:color="auto"/>
            </w:tcBorders>
          </w:tcPr>
          <w:p w:rsidR="00A82398" w:rsidRPr="00A82398" w:rsidRDefault="00A82398" w:rsidP="008F77E1">
            <w:pPr>
              <w:tabs>
                <w:tab w:val="decimal" w:pos="342"/>
              </w:tabs>
              <w:spacing w:before="120"/>
            </w:pPr>
            <w:r w:rsidRPr="00A82398">
              <w:t>0.41*</w:t>
            </w:r>
          </w:p>
        </w:tc>
        <w:tc>
          <w:tcPr>
            <w:tcW w:w="1152" w:type="dxa"/>
            <w:tcBorders>
              <w:top w:val="double" w:sz="4" w:space="0" w:color="auto"/>
            </w:tcBorders>
          </w:tcPr>
          <w:p w:rsidR="00A82398" w:rsidRPr="00A82398" w:rsidRDefault="00A82398" w:rsidP="008F77E1">
            <w:pPr>
              <w:tabs>
                <w:tab w:val="decimal" w:pos="342"/>
              </w:tabs>
              <w:spacing w:before="120"/>
            </w:pPr>
            <w:r w:rsidRPr="00A82398">
              <w:t>-0.21</w:t>
            </w:r>
          </w:p>
        </w:tc>
        <w:tc>
          <w:tcPr>
            <w:tcW w:w="1152" w:type="dxa"/>
            <w:tcBorders>
              <w:top w:val="double" w:sz="4" w:space="0" w:color="auto"/>
            </w:tcBorders>
          </w:tcPr>
          <w:p w:rsidR="00A82398" w:rsidRPr="00A82398" w:rsidRDefault="00A82398" w:rsidP="008F77E1">
            <w:pPr>
              <w:tabs>
                <w:tab w:val="decimal" w:pos="342"/>
              </w:tabs>
              <w:spacing w:before="120"/>
            </w:pPr>
            <w:r w:rsidRPr="00A82398">
              <w:t>0.17</w:t>
            </w:r>
          </w:p>
        </w:tc>
        <w:tc>
          <w:tcPr>
            <w:tcW w:w="236" w:type="dxa"/>
            <w:tcBorders>
              <w:top w:val="double" w:sz="4" w:space="0" w:color="auto"/>
            </w:tcBorders>
          </w:tcPr>
          <w:p w:rsidR="00A82398" w:rsidRPr="008F664F" w:rsidRDefault="00A82398" w:rsidP="008F77E1">
            <w:pPr>
              <w:tabs>
                <w:tab w:val="decimal" w:pos="342"/>
              </w:tabs>
              <w:spacing w:before="120"/>
            </w:pPr>
          </w:p>
        </w:tc>
        <w:tc>
          <w:tcPr>
            <w:tcW w:w="1152" w:type="dxa"/>
            <w:tcBorders>
              <w:top w:val="double" w:sz="4" w:space="0" w:color="auto"/>
            </w:tcBorders>
          </w:tcPr>
          <w:p w:rsidR="00A82398" w:rsidRPr="00A82398" w:rsidRDefault="00A82398" w:rsidP="008F77E1">
            <w:pPr>
              <w:tabs>
                <w:tab w:val="decimal" w:pos="342"/>
              </w:tabs>
              <w:spacing w:before="120"/>
            </w:pPr>
            <w:r w:rsidRPr="00A82398">
              <w:t>0.65***</w:t>
            </w:r>
          </w:p>
        </w:tc>
        <w:tc>
          <w:tcPr>
            <w:tcW w:w="1152" w:type="dxa"/>
            <w:tcBorders>
              <w:top w:val="double" w:sz="4" w:space="0" w:color="auto"/>
            </w:tcBorders>
          </w:tcPr>
          <w:p w:rsidR="00A82398" w:rsidRPr="00A82398" w:rsidRDefault="00A82398" w:rsidP="008F77E1">
            <w:pPr>
              <w:tabs>
                <w:tab w:val="decimal" w:pos="342"/>
              </w:tabs>
              <w:spacing w:before="120"/>
            </w:pPr>
            <w:r w:rsidRPr="00A82398">
              <w:t>0.02</w:t>
            </w:r>
          </w:p>
        </w:tc>
        <w:tc>
          <w:tcPr>
            <w:tcW w:w="1152" w:type="dxa"/>
            <w:tcBorders>
              <w:top w:val="double" w:sz="4" w:space="0" w:color="auto"/>
            </w:tcBorders>
          </w:tcPr>
          <w:p w:rsidR="00A82398" w:rsidRPr="00A82398" w:rsidRDefault="00A82398" w:rsidP="008F77E1">
            <w:pPr>
              <w:tabs>
                <w:tab w:val="decimal" w:pos="342"/>
              </w:tabs>
              <w:spacing w:before="120"/>
            </w:pPr>
            <w:r w:rsidRPr="00A82398">
              <w:t>0.24*</w:t>
            </w:r>
          </w:p>
        </w:tc>
      </w:tr>
      <w:tr w:rsidR="00A82398" w:rsidRPr="008F664F" w:rsidTr="006C05F2">
        <w:tc>
          <w:tcPr>
            <w:tcW w:w="2538" w:type="dxa"/>
            <w:vMerge/>
          </w:tcPr>
          <w:p w:rsidR="00A82398" w:rsidRPr="008F664F" w:rsidRDefault="00A82398" w:rsidP="008F77E1">
            <w:pPr>
              <w:spacing w:before="120"/>
              <w:ind w:left="540" w:hanging="540"/>
            </w:pPr>
          </w:p>
        </w:tc>
        <w:tc>
          <w:tcPr>
            <w:tcW w:w="1152" w:type="dxa"/>
          </w:tcPr>
          <w:p w:rsidR="00A82398" w:rsidRPr="00A82398" w:rsidRDefault="00A82398" w:rsidP="00A82398">
            <w:pPr>
              <w:tabs>
                <w:tab w:val="decimal" w:pos="342"/>
              </w:tabs>
            </w:pPr>
            <w:r w:rsidRPr="00A82398">
              <w:t>(0.22)</w:t>
            </w:r>
          </w:p>
        </w:tc>
        <w:tc>
          <w:tcPr>
            <w:tcW w:w="1152" w:type="dxa"/>
          </w:tcPr>
          <w:p w:rsidR="00A82398" w:rsidRPr="00A82398" w:rsidRDefault="00A82398" w:rsidP="00A82398">
            <w:pPr>
              <w:tabs>
                <w:tab w:val="decimal" w:pos="342"/>
              </w:tabs>
            </w:pPr>
            <w:r w:rsidRPr="00A82398">
              <w:t>(0.16)</w:t>
            </w:r>
          </w:p>
        </w:tc>
        <w:tc>
          <w:tcPr>
            <w:tcW w:w="1152" w:type="dxa"/>
          </w:tcPr>
          <w:p w:rsidR="00A82398" w:rsidRPr="00A82398" w:rsidRDefault="00A82398" w:rsidP="00A82398">
            <w:pPr>
              <w:tabs>
                <w:tab w:val="decimal" w:pos="342"/>
              </w:tabs>
            </w:pPr>
            <w:r w:rsidRPr="00A82398">
              <w:t>(0.11)</w:t>
            </w:r>
          </w:p>
        </w:tc>
        <w:tc>
          <w:tcPr>
            <w:tcW w:w="236" w:type="dxa"/>
          </w:tcPr>
          <w:p w:rsidR="00A82398" w:rsidRPr="008F664F" w:rsidRDefault="00A82398" w:rsidP="00A82398">
            <w:pPr>
              <w:tabs>
                <w:tab w:val="decimal" w:pos="342"/>
              </w:tabs>
            </w:pPr>
          </w:p>
        </w:tc>
        <w:tc>
          <w:tcPr>
            <w:tcW w:w="1152" w:type="dxa"/>
          </w:tcPr>
          <w:p w:rsidR="00A82398" w:rsidRPr="00A82398" w:rsidRDefault="00A82398" w:rsidP="00A82398">
            <w:pPr>
              <w:tabs>
                <w:tab w:val="decimal" w:pos="342"/>
              </w:tabs>
            </w:pPr>
            <w:r w:rsidRPr="00A82398">
              <w:t>(0.25)</w:t>
            </w:r>
          </w:p>
        </w:tc>
        <w:tc>
          <w:tcPr>
            <w:tcW w:w="1152" w:type="dxa"/>
          </w:tcPr>
          <w:p w:rsidR="00A82398" w:rsidRPr="00A82398" w:rsidRDefault="00A82398" w:rsidP="00A82398">
            <w:pPr>
              <w:tabs>
                <w:tab w:val="decimal" w:pos="342"/>
              </w:tabs>
            </w:pPr>
            <w:r w:rsidRPr="00A82398">
              <w:t>(0.10)</w:t>
            </w:r>
          </w:p>
        </w:tc>
        <w:tc>
          <w:tcPr>
            <w:tcW w:w="1152" w:type="dxa"/>
          </w:tcPr>
          <w:p w:rsidR="00A82398" w:rsidRPr="00A82398" w:rsidRDefault="00A82398" w:rsidP="00A82398">
            <w:pPr>
              <w:tabs>
                <w:tab w:val="decimal" w:pos="342"/>
              </w:tabs>
            </w:pPr>
            <w:r w:rsidRPr="00A82398">
              <w:t>(0.13)</w:t>
            </w:r>
          </w:p>
        </w:tc>
      </w:tr>
      <w:tr w:rsidR="00A82398" w:rsidRPr="008F664F" w:rsidTr="006C05F2">
        <w:tc>
          <w:tcPr>
            <w:tcW w:w="2538" w:type="dxa"/>
            <w:vMerge w:val="restart"/>
          </w:tcPr>
          <w:p w:rsidR="00A82398" w:rsidRPr="008F664F" w:rsidRDefault="00A82398" w:rsidP="008F77E1">
            <w:pPr>
              <w:spacing w:before="120"/>
              <w:ind w:left="547" w:hanging="547"/>
            </w:pPr>
            <w:r w:rsidRPr="008F664F">
              <w:t>Real private consumption</w:t>
            </w:r>
          </w:p>
        </w:tc>
        <w:tc>
          <w:tcPr>
            <w:tcW w:w="1152" w:type="dxa"/>
          </w:tcPr>
          <w:p w:rsidR="00A82398" w:rsidRPr="00A82398" w:rsidRDefault="00A82398" w:rsidP="008F77E1">
            <w:pPr>
              <w:tabs>
                <w:tab w:val="decimal" w:pos="342"/>
              </w:tabs>
              <w:spacing w:before="120"/>
            </w:pPr>
            <w:r w:rsidRPr="00A82398">
              <w:t>0.61***</w:t>
            </w:r>
          </w:p>
        </w:tc>
        <w:tc>
          <w:tcPr>
            <w:tcW w:w="1152" w:type="dxa"/>
          </w:tcPr>
          <w:p w:rsidR="00A82398" w:rsidRPr="00A82398" w:rsidRDefault="00A82398" w:rsidP="008F77E1">
            <w:pPr>
              <w:tabs>
                <w:tab w:val="decimal" w:pos="342"/>
              </w:tabs>
              <w:spacing w:before="120"/>
            </w:pPr>
            <w:r w:rsidRPr="00A82398">
              <w:t>-0.28</w:t>
            </w:r>
          </w:p>
        </w:tc>
        <w:tc>
          <w:tcPr>
            <w:tcW w:w="1152" w:type="dxa"/>
          </w:tcPr>
          <w:p w:rsidR="00A82398" w:rsidRPr="00A82398" w:rsidRDefault="00A82398" w:rsidP="008F77E1">
            <w:pPr>
              <w:tabs>
                <w:tab w:val="decimal" w:pos="342"/>
              </w:tabs>
              <w:spacing w:before="120"/>
            </w:pPr>
            <w:r w:rsidRPr="00A82398">
              <w:t>0.21*</w:t>
            </w:r>
          </w:p>
        </w:tc>
        <w:tc>
          <w:tcPr>
            <w:tcW w:w="236" w:type="dxa"/>
          </w:tcPr>
          <w:p w:rsidR="00A82398" w:rsidRPr="008F664F" w:rsidRDefault="00A82398" w:rsidP="008F77E1">
            <w:pPr>
              <w:tabs>
                <w:tab w:val="decimal" w:pos="342"/>
              </w:tabs>
              <w:spacing w:before="120"/>
            </w:pPr>
          </w:p>
        </w:tc>
        <w:tc>
          <w:tcPr>
            <w:tcW w:w="1152" w:type="dxa"/>
          </w:tcPr>
          <w:p w:rsidR="00A82398" w:rsidRPr="00A82398" w:rsidRDefault="00A82398" w:rsidP="008F77E1">
            <w:pPr>
              <w:tabs>
                <w:tab w:val="decimal" w:pos="342"/>
              </w:tabs>
              <w:spacing w:before="120"/>
            </w:pPr>
            <w:r w:rsidRPr="00A82398">
              <w:t>0.78***</w:t>
            </w:r>
          </w:p>
        </w:tc>
        <w:tc>
          <w:tcPr>
            <w:tcW w:w="1152" w:type="dxa"/>
          </w:tcPr>
          <w:p w:rsidR="00A82398" w:rsidRPr="00A82398" w:rsidRDefault="00A82398" w:rsidP="008F77E1">
            <w:pPr>
              <w:tabs>
                <w:tab w:val="decimal" w:pos="342"/>
              </w:tabs>
              <w:spacing w:before="120"/>
            </w:pPr>
            <w:r w:rsidRPr="00A82398">
              <w:t>-0.16</w:t>
            </w:r>
          </w:p>
        </w:tc>
        <w:tc>
          <w:tcPr>
            <w:tcW w:w="1152" w:type="dxa"/>
          </w:tcPr>
          <w:p w:rsidR="00A82398" w:rsidRPr="00A82398" w:rsidRDefault="00A82398" w:rsidP="008F77E1">
            <w:pPr>
              <w:tabs>
                <w:tab w:val="decimal" w:pos="342"/>
              </w:tabs>
              <w:spacing w:before="120"/>
            </w:pPr>
            <w:r w:rsidRPr="00A82398">
              <w:t>0.32**</w:t>
            </w:r>
          </w:p>
        </w:tc>
      </w:tr>
      <w:tr w:rsidR="00A82398" w:rsidRPr="008F664F" w:rsidTr="006C05F2">
        <w:tc>
          <w:tcPr>
            <w:tcW w:w="2538" w:type="dxa"/>
            <w:vMerge/>
          </w:tcPr>
          <w:p w:rsidR="00A82398" w:rsidRPr="008F664F" w:rsidRDefault="00A82398" w:rsidP="008F77E1">
            <w:pPr>
              <w:spacing w:before="120"/>
              <w:ind w:left="540" w:hanging="540"/>
            </w:pPr>
          </w:p>
        </w:tc>
        <w:tc>
          <w:tcPr>
            <w:tcW w:w="1152" w:type="dxa"/>
          </w:tcPr>
          <w:p w:rsidR="00A82398" w:rsidRPr="00A82398" w:rsidRDefault="00A82398" w:rsidP="00A82398">
            <w:pPr>
              <w:tabs>
                <w:tab w:val="decimal" w:pos="342"/>
              </w:tabs>
            </w:pPr>
            <w:r w:rsidRPr="00A82398">
              <w:t>(0.26)</w:t>
            </w:r>
          </w:p>
        </w:tc>
        <w:tc>
          <w:tcPr>
            <w:tcW w:w="1152" w:type="dxa"/>
          </w:tcPr>
          <w:p w:rsidR="00A82398" w:rsidRPr="00A82398" w:rsidRDefault="00A82398" w:rsidP="00A82398">
            <w:pPr>
              <w:tabs>
                <w:tab w:val="decimal" w:pos="342"/>
              </w:tabs>
            </w:pPr>
            <w:r w:rsidRPr="00A82398">
              <w:t>(0.22)</w:t>
            </w:r>
          </w:p>
        </w:tc>
        <w:tc>
          <w:tcPr>
            <w:tcW w:w="1152" w:type="dxa"/>
          </w:tcPr>
          <w:p w:rsidR="00A82398" w:rsidRPr="00A82398" w:rsidRDefault="00A82398" w:rsidP="00A82398">
            <w:pPr>
              <w:tabs>
                <w:tab w:val="decimal" w:pos="342"/>
              </w:tabs>
            </w:pPr>
            <w:r w:rsidRPr="00A82398">
              <w:t>(0.13)</w:t>
            </w:r>
          </w:p>
        </w:tc>
        <w:tc>
          <w:tcPr>
            <w:tcW w:w="236" w:type="dxa"/>
          </w:tcPr>
          <w:p w:rsidR="00A82398" w:rsidRPr="008F664F" w:rsidRDefault="00A82398" w:rsidP="00A82398">
            <w:pPr>
              <w:tabs>
                <w:tab w:val="decimal" w:pos="342"/>
              </w:tabs>
            </w:pPr>
          </w:p>
        </w:tc>
        <w:tc>
          <w:tcPr>
            <w:tcW w:w="1152" w:type="dxa"/>
          </w:tcPr>
          <w:p w:rsidR="00A82398" w:rsidRPr="00A82398" w:rsidRDefault="00A82398" w:rsidP="00A82398">
            <w:pPr>
              <w:tabs>
                <w:tab w:val="decimal" w:pos="342"/>
              </w:tabs>
            </w:pPr>
            <w:r w:rsidRPr="00A82398">
              <w:t>(0.31)</w:t>
            </w:r>
          </w:p>
        </w:tc>
        <w:tc>
          <w:tcPr>
            <w:tcW w:w="1152" w:type="dxa"/>
          </w:tcPr>
          <w:p w:rsidR="00A82398" w:rsidRPr="00A82398" w:rsidRDefault="00A82398" w:rsidP="00A82398">
            <w:pPr>
              <w:tabs>
                <w:tab w:val="decimal" w:pos="342"/>
              </w:tabs>
            </w:pPr>
            <w:r w:rsidRPr="00A82398">
              <w:t>(0.17)</w:t>
            </w:r>
          </w:p>
        </w:tc>
        <w:tc>
          <w:tcPr>
            <w:tcW w:w="1152" w:type="dxa"/>
          </w:tcPr>
          <w:p w:rsidR="00A82398" w:rsidRPr="00A82398" w:rsidRDefault="00A82398" w:rsidP="00A82398">
            <w:pPr>
              <w:tabs>
                <w:tab w:val="decimal" w:pos="342"/>
              </w:tabs>
            </w:pPr>
            <w:r w:rsidRPr="00A82398">
              <w:t>(0.15)</w:t>
            </w:r>
          </w:p>
        </w:tc>
      </w:tr>
      <w:tr w:rsidR="00A82398" w:rsidRPr="008F664F" w:rsidTr="006C05F2">
        <w:tc>
          <w:tcPr>
            <w:tcW w:w="2538" w:type="dxa"/>
            <w:vMerge w:val="restart"/>
          </w:tcPr>
          <w:p w:rsidR="00A82398" w:rsidRPr="008F664F" w:rsidRDefault="00A82398" w:rsidP="008F77E1">
            <w:pPr>
              <w:spacing w:before="120"/>
              <w:ind w:left="547" w:hanging="547"/>
            </w:pPr>
            <w:r w:rsidRPr="008F664F">
              <w:t>Real private gross capital formation</w:t>
            </w:r>
          </w:p>
        </w:tc>
        <w:tc>
          <w:tcPr>
            <w:tcW w:w="1152" w:type="dxa"/>
          </w:tcPr>
          <w:p w:rsidR="00A82398" w:rsidRPr="00A82398" w:rsidRDefault="00A82398" w:rsidP="008F77E1">
            <w:pPr>
              <w:tabs>
                <w:tab w:val="decimal" w:pos="342"/>
              </w:tabs>
              <w:spacing w:before="120"/>
            </w:pPr>
            <w:r w:rsidRPr="00A82398">
              <w:t>1.71*</w:t>
            </w:r>
          </w:p>
        </w:tc>
        <w:tc>
          <w:tcPr>
            <w:tcW w:w="1152" w:type="dxa"/>
          </w:tcPr>
          <w:p w:rsidR="00A82398" w:rsidRPr="00A82398" w:rsidRDefault="00A82398" w:rsidP="008F77E1">
            <w:pPr>
              <w:tabs>
                <w:tab w:val="decimal" w:pos="342"/>
              </w:tabs>
              <w:spacing w:before="120"/>
            </w:pPr>
            <w:r w:rsidRPr="00A82398">
              <w:t>-2.41**</w:t>
            </w:r>
          </w:p>
        </w:tc>
        <w:tc>
          <w:tcPr>
            <w:tcW w:w="1152" w:type="dxa"/>
          </w:tcPr>
          <w:p w:rsidR="00A82398" w:rsidRPr="00A82398" w:rsidRDefault="00A82398" w:rsidP="008F77E1">
            <w:pPr>
              <w:tabs>
                <w:tab w:val="decimal" w:pos="342"/>
              </w:tabs>
              <w:spacing w:before="120"/>
            </w:pPr>
            <w:r w:rsidRPr="00A82398">
              <w:t>-0.20</w:t>
            </w:r>
          </w:p>
        </w:tc>
        <w:tc>
          <w:tcPr>
            <w:tcW w:w="236" w:type="dxa"/>
          </w:tcPr>
          <w:p w:rsidR="00A82398" w:rsidRPr="008F664F" w:rsidRDefault="00A82398" w:rsidP="008F77E1">
            <w:pPr>
              <w:tabs>
                <w:tab w:val="decimal" w:pos="342"/>
              </w:tabs>
              <w:spacing w:before="120"/>
            </w:pPr>
          </w:p>
        </w:tc>
        <w:tc>
          <w:tcPr>
            <w:tcW w:w="1152" w:type="dxa"/>
          </w:tcPr>
          <w:p w:rsidR="00A82398" w:rsidRPr="00A82398" w:rsidRDefault="00A82398" w:rsidP="008F77E1">
            <w:pPr>
              <w:tabs>
                <w:tab w:val="decimal" w:pos="342"/>
              </w:tabs>
              <w:spacing w:before="120"/>
            </w:pPr>
            <w:r w:rsidRPr="00A82398">
              <w:t>2.29</w:t>
            </w:r>
          </w:p>
        </w:tc>
        <w:tc>
          <w:tcPr>
            <w:tcW w:w="1152" w:type="dxa"/>
          </w:tcPr>
          <w:p w:rsidR="00A82398" w:rsidRPr="00A82398" w:rsidRDefault="00A82398" w:rsidP="008F77E1">
            <w:pPr>
              <w:tabs>
                <w:tab w:val="decimal" w:pos="342"/>
              </w:tabs>
              <w:spacing w:before="120"/>
            </w:pPr>
            <w:r w:rsidRPr="00A82398">
              <w:t>-1.58***</w:t>
            </w:r>
          </w:p>
        </w:tc>
        <w:tc>
          <w:tcPr>
            <w:tcW w:w="1152" w:type="dxa"/>
          </w:tcPr>
          <w:p w:rsidR="00A82398" w:rsidRPr="00A82398" w:rsidRDefault="00A82398" w:rsidP="008F77E1">
            <w:pPr>
              <w:tabs>
                <w:tab w:val="decimal" w:pos="342"/>
              </w:tabs>
              <w:spacing w:before="120"/>
            </w:pPr>
            <w:r w:rsidRPr="00A82398">
              <w:t>0.03</w:t>
            </w:r>
          </w:p>
        </w:tc>
      </w:tr>
      <w:tr w:rsidR="00A82398" w:rsidRPr="008F664F" w:rsidTr="006C05F2">
        <w:tc>
          <w:tcPr>
            <w:tcW w:w="2538" w:type="dxa"/>
            <w:vMerge/>
          </w:tcPr>
          <w:p w:rsidR="00A82398" w:rsidRPr="008F664F" w:rsidRDefault="00A82398" w:rsidP="008F77E1">
            <w:pPr>
              <w:spacing w:before="120"/>
              <w:ind w:left="540" w:hanging="540"/>
            </w:pPr>
          </w:p>
        </w:tc>
        <w:tc>
          <w:tcPr>
            <w:tcW w:w="1152" w:type="dxa"/>
          </w:tcPr>
          <w:p w:rsidR="00A82398" w:rsidRPr="00A82398" w:rsidRDefault="00A82398" w:rsidP="00A82398">
            <w:pPr>
              <w:tabs>
                <w:tab w:val="decimal" w:pos="342"/>
              </w:tabs>
            </w:pPr>
            <w:r w:rsidRPr="00A82398">
              <w:t>(0.94)</w:t>
            </w:r>
          </w:p>
        </w:tc>
        <w:tc>
          <w:tcPr>
            <w:tcW w:w="1152" w:type="dxa"/>
          </w:tcPr>
          <w:p w:rsidR="00A82398" w:rsidRPr="00A82398" w:rsidRDefault="00A82398" w:rsidP="00A82398">
            <w:pPr>
              <w:tabs>
                <w:tab w:val="decimal" w:pos="342"/>
              </w:tabs>
            </w:pPr>
            <w:r w:rsidRPr="00A82398">
              <w:t>(1.15)</w:t>
            </w:r>
          </w:p>
        </w:tc>
        <w:tc>
          <w:tcPr>
            <w:tcW w:w="1152" w:type="dxa"/>
          </w:tcPr>
          <w:p w:rsidR="00A82398" w:rsidRPr="00A82398" w:rsidRDefault="00A82398" w:rsidP="00A82398">
            <w:pPr>
              <w:tabs>
                <w:tab w:val="decimal" w:pos="342"/>
              </w:tabs>
            </w:pPr>
            <w:r w:rsidRPr="00A82398">
              <w:t>(0.41)</w:t>
            </w:r>
          </w:p>
        </w:tc>
        <w:tc>
          <w:tcPr>
            <w:tcW w:w="236" w:type="dxa"/>
          </w:tcPr>
          <w:p w:rsidR="00A82398" w:rsidRPr="008F664F" w:rsidRDefault="00A82398" w:rsidP="00A82398">
            <w:pPr>
              <w:tabs>
                <w:tab w:val="decimal" w:pos="342"/>
              </w:tabs>
            </w:pPr>
          </w:p>
        </w:tc>
        <w:tc>
          <w:tcPr>
            <w:tcW w:w="1152" w:type="dxa"/>
          </w:tcPr>
          <w:p w:rsidR="00A82398" w:rsidRPr="00A82398" w:rsidRDefault="00A82398" w:rsidP="00A82398">
            <w:pPr>
              <w:tabs>
                <w:tab w:val="decimal" w:pos="342"/>
              </w:tabs>
            </w:pPr>
            <w:r w:rsidRPr="00A82398">
              <w:t>(1.69)</w:t>
            </w:r>
          </w:p>
        </w:tc>
        <w:tc>
          <w:tcPr>
            <w:tcW w:w="1152" w:type="dxa"/>
          </w:tcPr>
          <w:p w:rsidR="00A82398" w:rsidRPr="00A82398" w:rsidRDefault="00A82398" w:rsidP="00A82398">
            <w:pPr>
              <w:tabs>
                <w:tab w:val="decimal" w:pos="342"/>
              </w:tabs>
            </w:pPr>
            <w:r w:rsidRPr="00A82398">
              <w:t>(0.60)</w:t>
            </w:r>
          </w:p>
        </w:tc>
        <w:tc>
          <w:tcPr>
            <w:tcW w:w="1152" w:type="dxa"/>
          </w:tcPr>
          <w:p w:rsidR="00A82398" w:rsidRPr="00A82398" w:rsidRDefault="00A82398" w:rsidP="00A82398">
            <w:pPr>
              <w:tabs>
                <w:tab w:val="decimal" w:pos="342"/>
              </w:tabs>
            </w:pPr>
            <w:r w:rsidRPr="00A82398">
              <w:t>(0.43)</w:t>
            </w:r>
          </w:p>
        </w:tc>
      </w:tr>
      <w:tr w:rsidR="00A82398" w:rsidRPr="008F664F" w:rsidTr="006C05F2">
        <w:tc>
          <w:tcPr>
            <w:tcW w:w="2538" w:type="dxa"/>
            <w:vMerge w:val="restart"/>
          </w:tcPr>
          <w:p w:rsidR="00A82398" w:rsidRPr="008F664F" w:rsidRDefault="00A82398" w:rsidP="008F77E1">
            <w:pPr>
              <w:spacing w:before="120"/>
              <w:ind w:left="540" w:hanging="540"/>
            </w:pPr>
            <w:r w:rsidRPr="008F664F">
              <w:t>Total employment</w:t>
            </w:r>
          </w:p>
        </w:tc>
        <w:tc>
          <w:tcPr>
            <w:tcW w:w="1152" w:type="dxa"/>
          </w:tcPr>
          <w:p w:rsidR="00A82398" w:rsidRPr="00A82398" w:rsidRDefault="00A82398" w:rsidP="008F77E1">
            <w:pPr>
              <w:tabs>
                <w:tab w:val="decimal" w:pos="342"/>
              </w:tabs>
              <w:spacing w:before="120"/>
            </w:pPr>
            <w:r w:rsidRPr="00A82398">
              <w:t>0.40*</w:t>
            </w:r>
          </w:p>
        </w:tc>
        <w:tc>
          <w:tcPr>
            <w:tcW w:w="1152" w:type="dxa"/>
          </w:tcPr>
          <w:p w:rsidR="00A82398" w:rsidRPr="00A82398" w:rsidRDefault="00A82398" w:rsidP="008F77E1">
            <w:pPr>
              <w:tabs>
                <w:tab w:val="decimal" w:pos="342"/>
              </w:tabs>
              <w:spacing w:before="120"/>
            </w:pPr>
            <w:r w:rsidRPr="00A82398">
              <w:t>-0.20</w:t>
            </w:r>
          </w:p>
        </w:tc>
        <w:tc>
          <w:tcPr>
            <w:tcW w:w="1152" w:type="dxa"/>
          </w:tcPr>
          <w:p w:rsidR="00A82398" w:rsidRPr="00A82398" w:rsidRDefault="00A82398" w:rsidP="008F77E1">
            <w:pPr>
              <w:tabs>
                <w:tab w:val="decimal" w:pos="342"/>
              </w:tabs>
              <w:spacing w:before="120"/>
            </w:pPr>
            <w:r w:rsidRPr="00A82398">
              <w:t>0.12</w:t>
            </w:r>
          </w:p>
        </w:tc>
        <w:tc>
          <w:tcPr>
            <w:tcW w:w="236" w:type="dxa"/>
          </w:tcPr>
          <w:p w:rsidR="00A82398" w:rsidRPr="008F664F" w:rsidRDefault="00A82398" w:rsidP="008F77E1">
            <w:pPr>
              <w:tabs>
                <w:tab w:val="decimal" w:pos="342"/>
              </w:tabs>
              <w:spacing w:before="120"/>
            </w:pPr>
          </w:p>
        </w:tc>
        <w:tc>
          <w:tcPr>
            <w:tcW w:w="1152" w:type="dxa"/>
          </w:tcPr>
          <w:p w:rsidR="00A82398" w:rsidRPr="00A82398" w:rsidRDefault="00A82398" w:rsidP="008F77E1">
            <w:pPr>
              <w:tabs>
                <w:tab w:val="decimal" w:pos="342"/>
              </w:tabs>
              <w:spacing w:before="120"/>
            </w:pPr>
            <w:r w:rsidRPr="00A82398">
              <w:t>0.49</w:t>
            </w:r>
          </w:p>
        </w:tc>
        <w:tc>
          <w:tcPr>
            <w:tcW w:w="1152" w:type="dxa"/>
          </w:tcPr>
          <w:p w:rsidR="00A82398" w:rsidRPr="00A82398" w:rsidRDefault="00A82398" w:rsidP="008F77E1">
            <w:pPr>
              <w:tabs>
                <w:tab w:val="decimal" w:pos="342"/>
              </w:tabs>
              <w:spacing w:before="120"/>
            </w:pPr>
            <w:r w:rsidRPr="00A82398">
              <w:t>-0.05</w:t>
            </w:r>
          </w:p>
        </w:tc>
        <w:tc>
          <w:tcPr>
            <w:tcW w:w="1152" w:type="dxa"/>
          </w:tcPr>
          <w:p w:rsidR="00A82398" w:rsidRPr="00A82398" w:rsidRDefault="00A82398" w:rsidP="008F77E1">
            <w:pPr>
              <w:tabs>
                <w:tab w:val="decimal" w:pos="342"/>
              </w:tabs>
              <w:spacing w:before="120"/>
            </w:pPr>
            <w:r w:rsidRPr="00A82398">
              <w:t>0.15</w:t>
            </w:r>
          </w:p>
        </w:tc>
      </w:tr>
      <w:tr w:rsidR="00A82398" w:rsidRPr="008F664F" w:rsidTr="006C05F2">
        <w:tc>
          <w:tcPr>
            <w:tcW w:w="2538" w:type="dxa"/>
            <w:vMerge/>
          </w:tcPr>
          <w:p w:rsidR="00A82398" w:rsidRPr="008F664F" w:rsidRDefault="00A82398" w:rsidP="008F77E1">
            <w:pPr>
              <w:spacing w:before="120"/>
              <w:ind w:left="540" w:hanging="540"/>
            </w:pPr>
          </w:p>
        </w:tc>
        <w:tc>
          <w:tcPr>
            <w:tcW w:w="1152" w:type="dxa"/>
          </w:tcPr>
          <w:p w:rsidR="00A82398" w:rsidRPr="00A82398" w:rsidRDefault="00A82398" w:rsidP="00A82398">
            <w:pPr>
              <w:tabs>
                <w:tab w:val="decimal" w:pos="342"/>
              </w:tabs>
            </w:pPr>
            <w:r w:rsidRPr="00A82398">
              <w:t>(0.23)</w:t>
            </w:r>
          </w:p>
        </w:tc>
        <w:tc>
          <w:tcPr>
            <w:tcW w:w="1152" w:type="dxa"/>
          </w:tcPr>
          <w:p w:rsidR="00A82398" w:rsidRPr="00A82398" w:rsidRDefault="00A82398" w:rsidP="00A82398">
            <w:pPr>
              <w:tabs>
                <w:tab w:val="decimal" w:pos="342"/>
              </w:tabs>
            </w:pPr>
            <w:r w:rsidRPr="00A82398">
              <w:t>(0.22)</w:t>
            </w:r>
          </w:p>
        </w:tc>
        <w:tc>
          <w:tcPr>
            <w:tcW w:w="1152" w:type="dxa"/>
          </w:tcPr>
          <w:p w:rsidR="00A82398" w:rsidRPr="00A82398" w:rsidRDefault="00A82398" w:rsidP="00A82398">
            <w:pPr>
              <w:tabs>
                <w:tab w:val="decimal" w:pos="342"/>
              </w:tabs>
            </w:pPr>
            <w:r w:rsidRPr="00A82398">
              <w:t>(0.09)</w:t>
            </w:r>
          </w:p>
        </w:tc>
        <w:tc>
          <w:tcPr>
            <w:tcW w:w="236" w:type="dxa"/>
          </w:tcPr>
          <w:p w:rsidR="00A82398" w:rsidRPr="008F664F" w:rsidRDefault="00A82398" w:rsidP="00A82398">
            <w:pPr>
              <w:tabs>
                <w:tab w:val="decimal" w:pos="342"/>
              </w:tabs>
            </w:pPr>
          </w:p>
        </w:tc>
        <w:tc>
          <w:tcPr>
            <w:tcW w:w="1152" w:type="dxa"/>
          </w:tcPr>
          <w:p w:rsidR="00A82398" w:rsidRPr="00A82398" w:rsidRDefault="00A82398" w:rsidP="00A82398">
            <w:pPr>
              <w:tabs>
                <w:tab w:val="decimal" w:pos="342"/>
              </w:tabs>
            </w:pPr>
            <w:r w:rsidRPr="00A82398">
              <w:t>(0.30)</w:t>
            </w:r>
          </w:p>
        </w:tc>
        <w:tc>
          <w:tcPr>
            <w:tcW w:w="1152" w:type="dxa"/>
          </w:tcPr>
          <w:p w:rsidR="00A82398" w:rsidRPr="00A82398" w:rsidRDefault="00A82398" w:rsidP="00A82398">
            <w:pPr>
              <w:tabs>
                <w:tab w:val="decimal" w:pos="342"/>
              </w:tabs>
            </w:pPr>
            <w:r w:rsidRPr="00A82398">
              <w:t>(0.07)</w:t>
            </w:r>
          </w:p>
        </w:tc>
        <w:tc>
          <w:tcPr>
            <w:tcW w:w="1152" w:type="dxa"/>
          </w:tcPr>
          <w:p w:rsidR="00A82398" w:rsidRPr="00A82398" w:rsidRDefault="00A82398" w:rsidP="00A82398">
            <w:pPr>
              <w:tabs>
                <w:tab w:val="decimal" w:pos="342"/>
              </w:tabs>
            </w:pPr>
            <w:r w:rsidRPr="00A82398">
              <w:t>(0.09)</w:t>
            </w:r>
          </w:p>
        </w:tc>
      </w:tr>
      <w:tr w:rsidR="00A82398" w:rsidRPr="008F664F" w:rsidTr="006C05F2">
        <w:tc>
          <w:tcPr>
            <w:tcW w:w="2538" w:type="dxa"/>
            <w:vMerge w:val="restart"/>
          </w:tcPr>
          <w:p w:rsidR="00A82398" w:rsidRPr="008F664F" w:rsidRDefault="00A82398" w:rsidP="008F77E1">
            <w:pPr>
              <w:spacing w:before="120"/>
              <w:ind w:left="540" w:hanging="540"/>
            </w:pPr>
            <w:r w:rsidRPr="008F664F">
              <w:t>Employment in the private sector</w:t>
            </w:r>
          </w:p>
        </w:tc>
        <w:tc>
          <w:tcPr>
            <w:tcW w:w="1152" w:type="dxa"/>
          </w:tcPr>
          <w:p w:rsidR="00A82398" w:rsidRPr="00A82398" w:rsidRDefault="00A82398" w:rsidP="008F77E1">
            <w:pPr>
              <w:tabs>
                <w:tab w:val="decimal" w:pos="342"/>
              </w:tabs>
              <w:spacing w:before="120"/>
            </w:pPr>
            <w:r w:rsidRPr="00A82398">
              <w:t>0.33</w:t>
            </w:r>
          </w:p>
        </w:tc>
        <w:tc>
          <w:tcPr>
            <w:tcW w:w="1152" w:type="dxa"/>
          </w:tcPr>
          <w:p w:rsidR="00A82398" w:rsidRPr="00A82398" w:rsidRDefault="00A82398" w:rsidP="008F77E1">
            <w:pPr>
              <w:tabs>
                <w:tab w:val="decimal" w:pos="342"/>
              </w:tabs>
              <w:spacing w:before="120"/>
            </w:pPr>
            <w:r w:rsidRPr="00A82398">
              <w:t>-0.53***</w:t>
            </w:r>
          </w:p>
        </w:tc>
        <w:tc>
          <w:tcPr>
            <w:tcW w:w="1152" w:type="dxa"/>
          </w:tcPr>
          <w:p w:rsidR="00A82398" w:rsidRPr="00A82398" w:rsidRDefault="00A82398" w:rsidP="008F77E1">
            <w:pPr>
              <w:tabs>
                <w:tab w:val="decimal" w:pos="342"/>
              </w:tabs>
              <w:spacing w:before="120"/>
            </w:pPr>
            <w:r w:rsidRPr="00A82398">
              <w:t>-0.05</w:t>
            </w:r>
          </w:p>
        </w:tc>
        <w:tc>
          <w:tcPr>
            <w:tcW w:w="236" w:type="dxa"/>
          </w:tcPr>
          <w:p w:rsidR="00A82398" w:rsidRPr="008F664F" w:rsidRDefault="00A82398" w:rsidP="008F77E1">
            <w:pPr>
              <w:tabs>
                <w:tab w:val="decimal" w:pos="342"/>
              </w:tabs>
              <w:spacing w:before="120"/>
            </w:pPr>
          </w:p>
        </w:tc>
        <w:tc>
          <w:tcPr>
            <w:tcW w:w="1152" w:type="dxa"/>
          </w:tcPr>
          <w:p w:rsidR="00A82398" w:rsidRPr="00A82398" w:rsidRDefault="00A82398" w:rsidP="008F77E1">
            <w:pPr>
              <w:tabs>
                <w:tab w:val="decimal" w:pos="342"/>
              </w:tabs>
              <w:spacing w:before="120"/>
            </w:pPr>
            <w:r w:rsidRPr="00A82398">
              <w:t>0.48</w:t>
            </w:r>
          </w:p>
        </w:tc>
        <w:tc>
          <w:tcPr>
            <w:tcW w:w="1152" w:type="dxa"/>
          </w:tcPr>
          <w:p w:rsidR="00A82398" w:rsidRPr="00A82398" w:rsidRDefault="00A82398" w:rsidP="008F77E1">
            <w:pPr>
              <w:tabs>
                <w:tab w:val="decimal" w:pos="342"/>
              </w:tabs>
              <w:spacing w:before="120"/>
            </w:pPr>
            <w:r w:rsidRPr="00A82398">
              <w:t>-0.07</w:t>
            </w:r>
          </w:p>
        </w:tc>
        <w:tc>
          <w:tcPr>
            <w:tcW w:w="1152" w:type="dxa"/>
          </w:tcPr>
          <w:p w:rsidR="00A82398" w:rsidRPr="00A82398" w:rsidRDefault="00A82398" w:rsidP="008F77E1">
            <w:pPr>
              <w:tabs>
                <w:tab w:val="decimal" w:pos="342"/>
              </w:tabs>
              <w:spacing w:before="120"/>
            </w:pPr>
            <w:r w:rsidRPr="00A82398">
              <w:t>0.06</w:t>
            </w:r>
          </w:p>
        </w:tc>
      </w:tr>
      <w:tr w:rsidR="00A82398" w:rsidRPr="008F664F" w:rsidTr="006C05F2">
        <w:tc>
          <w:tcPr>
            <w:tcW w:w="2538" w:type="dxa"/>
            <w:vMerge/>
          </w:tcPr>
          <w:p w:rsidR="00A82398" w:rsidRPr="008F664F" w:rsidRDefault="00A82398" w:rsidP="008F77E1">
            <w:pPr>
              <w:spacing w:before="120"/>
              <w:ind w:left="540" w:hanging="540"/>
            </w:pPr>
          </w:p>
        </w:tc>
        <w:tc>
          <w:tcPr>
            <w:tcW w:w="1152" w:type="dxa"/>
          </w:tcPr>
          <w:p w:rsidR="00A82398" w:rsidRPr="00A82398" w:rsidRDefault="00A82398" w:rsidP="00A82398">
            <w:pPr>
              <w:tabs>
                <w:tab w:val="decimal" w:pos="342"/>
              </w:tabs>
            </w:pPr>
            <w:r w:rsidRPr="00A82398">
              <w:t>(0.24)</w:t>
            </w:r>
          </w:p>
        </w:tc>
        <w:tc>
          <w:tcPr>
            <w:tcW w:w="1152" w:type="dxa"/>
          </w:tcPr>
          <w:p w:rsidR="00A82398" w:rsidRPr="00A82398" w:rsidRDefault="00A82398" w:rsidP="00A82398">
            <w:pPr>
              <w:tabs>
                <w:tab w:val="decimal" w:pos="342"/>
              </w:tabs>
            </w:pPr>
            <w:r w:rsidRPr="00A82398">
              <w:t>(0.23)</w:t>
            </w:r>
          </w:p>
        </w:tc>
        <w:tc>
          <w:tcPr>
            <w:tcW w:w="1152" w:type="dxa"/>
          </w:tcPr>
          <w:p w:rsidR="00A82398" w:rsidRPr="00A82398" w:rsidRDefault="00A82398" w:rsidP="00A82398">
            <w:pPr>
              <w:tabs>
                <w:tab w:val="decimal" w:pos="342"/>
              </w:tabs>
            </w:pPr>
            <w:r w:rsidRPr="00A82398">
              <w:t>(0.07)</w:t>
            </w:r>
          </w:p>
        </w:tc>
        <w:tc>
          <w:tcPr>
            <w:tcW w:w="236" w:type="dxa"/>
          </w:tcPr>
          <w:p w:rsidR="00A82398" w:rsidRPr="008F664F" w:rsidRDefault="00A82398" w:rsidP="00A82398">
            <w:pPr>
              <w:tabs>
                <w:tab w:val="decimal" w:pos="342"/>
              </w:tabs>
            </w:pPr>
          </w:p>
        </w:tc>
        <w:tc>
          <w:tcPr>
            <w:tcW w:w="1152" w:type="dxa"/>
          </w:tcPr>
          <w:p w:rsidR="00A82398" w:rsidRPr="00A82398" w:rsidRDefault="00A82398" w:rsidP="00A82398">
            <w:pPr>
              <w:tabs>
                <w:tab w:val="decimal" w:pos="342"/>
              </w:tabs>
            </w:pPr>
            <w:r w:rsidRPr="00A82398">
              <w:t>(0.33)</w:t>
            </w:r>
          </w:p>
        </w:tc>
        <w:tc>
          <w:tcPr>
            <w:tcW w:w="1152" w:type="dxa"/>
          </w:tcPr>
          <w:p w:rsidR="00A82398" w:rsidRPr="00A82398" w:rsidRDefault="00A82398" w:rsidP="00A82398">
            <w:pPr>
              <w:tabs>
                <w:tab w:val="decimal" w:pos="342"/>
              </w:tabs>
            </w:pPr>
            <w:r w:rsidRPr="00A82398">
              <w:t>(0.09)</w:t>
            </w:r>
          </w:p>
        </w:tc>
        <w:tc>
          <w:tcPr>
            <w:tcW w:w="1152" w:type="dxa"/>
          </w:tcPr>
          <w:p w:rsidR="00A82398" w:rsidRPr="00A82398" w:rsidRDefault="00A82398" w:rsidP="00A82398">
            <w:pPr>
              <w:tabs>
                <w:tab w:val="decimal" w:pos="342"/>
              </w:tabs>
            </w:pPr>
            <w:r w:rsidRPr="00A82398">
              <w:t>(0.05)</w:t>
            </w:r>
          </w:p>
        </w:tc>
      </w:tr>
      <w:tr w:rsidR="00A82398" w:rsidRPr="008F664F" w:rsidTr="006C05F2">
        <w:tc>
          <w:tcPr>
            <w:tcW w:w="2538" w:type="dxa"/>
            <w:vMerge w:val="restart"/>
          </w:tcPr>
          <w:p w:rsidR="00A82398" w:rsidRPr="008F664F" w:rsidRDefault="00A82398" w:rsidP="008F77E1">
            <w:pPr>
              <w:spacing w:before="120"/>
              <w:ind w:left="540" w:hanging="540"/>
            </w:pPr>
            <w:r w:rsidRPr="008F664F">
              <w:t>Unemployment rate</w:t>
            </w:r>
          </w:p>
        </w:tc>
        <w:tc>
          <w:tcPr>
            <w:tcW w:w="1152" w:type="dxa"/>
          </w:tcPr>
          <w:p w:rsidR="00A82398" w:rsidRPr="00A82398" w:rsidRDefault="00A82398" w:rsidP="008F77E1">
            <w:pPr>
              <w:tabs>
                <w:tab w:val="decimal" w:pos="342"/>
              </w:tabs>
              <w:spacing w:before="120"/>
            </w:pPr>
            <w:r w:rsidRPr="00A82398">
              <w:t>-0.12</w:t>
            </w:r>
          </w:p>
        </w:tc>
        <w:tc>
          <w:tcPr>
            <w:tcW w:w="1152" w:type="dxa"/>
          </w:tcPr>
          <w:p w:rsidR="00A82398" w:rsidRPr="00A82398" w:rsidRDefault="00A82398" w:rsidP="008F77E1">
            <w:pPr>
              <w:tabs>
                <w:tab w:val="decimal" w:pos="342"/>
              </w:tabs>
              <w:spacing w:before="120"/>
            </w:pPr>
            <w:r w:rsidRPr="00A82398">
              <w:t>0.07</w:t>
            </w:r>
          </w:p>
        </w:tc>
        <w:tc>
          <w:tcPr>
            <w:tcW w:w="1152" w:type="dxa"/>
          </w:tcPr>
          <w:p w:rsidR="00A82398" w:rsidRPr="00A82398" w:rsidRDefault="00A82398" w:rsidP="008F77E1">
            <w:pPr>
              <w:tabs>
                <w:tab w:val="decimal" w:pos="342"/>
              </w:tabs>
              <w:spacing w:before="120"/>
            </w:pPr>
            <w:r w:rsidRPr="00A82398">
              <w:t>-0.04</w:t>
            </w:r>
          </w:p>
        </w:tc>
        <w:tc>
          <w:tcPr>
            <w:tcW w:w="236" w:type="dxa"/>
          </w:tcPr>
          <w:p w:rsidR="00A82398" w:rsidRPr="008F664F" w:rsidRDefault="00A82398" w:rsidP="008F77E1">
            <w:pPr>
              <w:tabs>
                <w:tab w:val="decimal" w:pos="342"/>
              </w:tabs>
              <w:spacing w:before="120"/>
            </w:pPr>
          </w:p>
        </w:tc>
        <w:tc>
          <w:tcPr>
            <w:tcW w:w="1152" w:type="dxa"/>
          </w:tcPr>
          <w:p w:rsidR="00A82398" w:rsidRPr="00A82398" w:rsidRDefault="00A82398" w:rsidP="008F77E1">
            <w:pPr>
              <w:tabs>
                <w:tab w:val="decimal" w:pos="342"/>
              </w:tabs>
              <w:spacing w:before="120"/>
            </w:pPr>
            <w:r w:rsidRPr="00A82398">
              <w:t>-0.20*</w:t>
            </w:r>
          </w:p>
        </w:tc>
        <w:tc>
          <w:tcPr>
            <w:tcW w:w="1152" w:type="dxa"/>
          </w:tcPr>
          <w:p w:rsidR="00A82398" w:rsidRPr="00A82398" w:rsidRDefault="00A82398" w:rsidP="008F77E1">
            <w:pPr>
              <w:tabs>
                <w:tab w:val="decimal" w:pos="342"/>
              </w:tabs>
              <w:spacing w:before="120"/>
            </w:pPr>
            <w:r w:rsidRPr="00A82398">
              <w:t>0.00</w:t>
            </w:r>
          </w:p>
        </w:tc>
        <w:tc>
          <w:tcPr>
            <w:tcW w:w="1152" w:type="dxa"/>
          </w:tcPr>
          <w:p w:rsidR="00A82398" w:rsidRPr="00A82398" w:rsidRDefault="00A82398" w:rsidP="008F77E1">
            <w:pPr>
              <w:tabs>
                <w:tab w:val="decimal" w:pos="342"/>
              </w:tabs>
              <w:spacing w:before="120"/>
            </w:pPr>
            <w:r w:rsidRPr="00A82398">
              <w:t>-0.05</w:t>
            </w:r>
          </w:p>
        </w:tc>
      </w:tr>
      <w:tr w:rsidR="00A82398" w:rsidRPr="008F664F" w:rsidTr="006C05F2">
        <w:tc>
          <w:tcPr>
            <w:tcW w:w="2538" w:type="dxa"/>
            <w:vMerge/>
          </w:tcPr>
          <w:p w:rsidR="00A82398" w:rsidRPr="008F664F" w:rsidRDefault="00A82398" w:rsidP="008F77E1">
            <w:pPr>
              <w:spacing w:before="120"/>
              <w:ind w:left="540" w:hanging="540"/>
            </w:pPr>
          </w:p>
        </w:tc>
        <w:tc>
          <w:tcPr>
            <w:tcW w:w="1152" w:type="dxa"/>
          </w:tcPr>
          <w:p w:rsidR="00A82398" w:rsidRPr="00A82398" w:rsidRDefault="00A82398" w:rsidP="00A82398">
            <w:pPr>
              <w:tabs>
                <w:tab w:val="decimal" w:pos="342"/>
              </w:tabs>
            </w:pPr>
            <w:r w:rsidRPr="00A82398">
              <w:t>(0.10)</w:t>
            </w:r>
          </w:p>
        </w:tc>
        <w:tc>
          <w:tcPr>
            <w:tcW w:w="1152" w:type="dxa"/>
          </w:tcPr>
          <w:p w:rsidR="00A82398" w:rsidRPr="00A82398" w:rsidRDefault="00A82398" w:rsidP="00A82398">
            <w:pPr>
              <w:tabs>
                <w:tab w:val="decimal" w:pos="342"/>
              </w:tabs>
            </w:pPr>
            <w:r w:rsidRPr="00A82398">
              <w:t>(0.11)</w:t>
            </w:r>
          </w:p>
        </w:tc>
        <w:tc>
          <w:tcPr>
            <w:tcW w:w="1152" w:type="dxa"/>
          </w:tcPr>
          <w:p w:rsidR="00A82398" w:rsidRPr="00A82398" w:rsidRDefault="00A82398" w:rsidP="00A82398">
            <w:pPr>
              <w:tabs>
                <w:tab w:val="decimal" w:pos="342"/>
              </w:tabs>
            </w:pPr>
            <w:r w:rsidRPr="00A82398">
              <w:t>(0.06)</w:t>
            </w:r>
          </w:p>
        </w:tc>
        <w:tc>
          <w:tcPr>
            <w:tcW w:w="236" w:type="dxa"/>
          </w:tcPr>
          <w:p w:rsidR="00A82398" w:rsidRPr="008F664F" w:rsidRDefault="00A82398" w:rsidP="00A82398">
            <w:pPr>
              <w:tabs>
                <w:tab w:val="decimal" w:pos="342"/>
              </w:tabs>
            </w:pPr>
          </w:p>
        </w:tc>
        <w:tc>
          <w:tcPr>
            <w:tcW w:w="1152" w:type="dxa"/>
          </w:tcPr>
          <w:p w:rsidR="00A82398" w:rsidRPr="00A82398" w:rsidRDefault="00A82398" w:rsidP="00A82398">
            <w:pPr>
              <w:tabs>
                <w:tab w:val="decimal" w:pos="342"/>
              </w:tabs>
            </w:pPr>
            <w:r w:rsidRPr="00A82398">
              <w:t>(0.11)</w:t>
            </w:r>
          </w:p>
        </w:tc>
        <w:tc>
          <w:tcPr>
            <w:tcW w:w="1152" w:type="dxa"/>
          </w:tcPr>
          <w:p w:rsidR="00A82398" w:rsidRPr="00A82398" w:rsidRDefault="00A82398" w:rsidP="00A82398">
            <w:pPr>
              <w:tabs>
                <w:tab w:val="decimal" w:pos="342"/>
              </w:tabs>
            </w:pPr>
            <w:r w:rsidRPr="00A82398">
              <w:t>(0.09)</w:t>
            </w:r>
          </w:p>
        </w:tc>
        <w:tc>
          <w:tcPr>
            <w:tcW w:w="1152" w:type="dxa"/>
          </w:tcPr>
          <w:p w:rsidR="00A82398" w:rsidRPr="00A82398" w:rsidRDefault="00A82398" w:rsidP="00A82398">
            <w:pPr>
              <w:tabs>
                <w:tab w:val="decimal" w:pos="342"/>
              </w:tabs>
            </w:pPr>
            <w:r w:rsidRPr="00A82398">
              <w:t>(0.06)</w:t>
            </w:r>
          </w:p>
        </w:tc>
      </w:tr>
      <w:tr w:rsidR="00A82398" w:rsidRPr="008F664F" w:rsidTr="006C05F2">
        <w:tc>
          <w:tcPr>
            <w:tcW w:w="2538" w:type="dxa"/>
            <w:vMerge w:val="restart"/>
          </w:tcPr>
          <w:p w:rsidR="00A82398" w:rsidRPr="008F664F" w:rsidRDefault="00A82398" w:rsidP="008F77E1">
            <w:pPr>
              <w:spacing w:before="120"/>
              <w:ind w:left="540" w:hanging="540"/>
            </w:pPr>
            <w:r w:rsidRPr="008F664F">
              <w:t>Real compensation rate of the private sector</w:t>
            </w:r>
          </w:p>
        </w:tc>
        <w:tc>
          <w:tcPr>
            <w:tcW w:w="1152" w:type="dxa"/>
          </w:tcPr>
          <w:p w:rsidR="00A82398" w:rsidRPr="00A82398" w:rsidRDefault="00A82398" w:rsidP="008F77E1">
            <w:pPr>
              <w:tabs>
                <w:tab w:val="decimal" w:pos="342"/>
              </w:tabs>
              <w:spacing w:before="120"/>
            </w:pPr>
            <w:r w:rsidRPr="00A82398">
              <w:t>-0.17</w:t>
            </w:r>
          </w:p>
        </w:tc>
        <w:tc>
          <w:tcPr>
            <w:tcW w:w="1152" w:type="dxa"/>
          </w:tcPr>
          <w:p w:rsidR="00A82398" w:rsidRPr="00A82398" w:rsidRDefault="00A82398" w:rsidP="008F77E1">
            <w:pPr>
              <w:tabs>
                <w:tab w:val="decimal" w:pos="342"/>
              </w:tabs>
              <w:spacing w:before="120"/>
            </w:pPr>
            <w:r w:rsidRPr="00A82398">
              <w:t>0.52*</w:t>
            </w:r>
          </w:p>
        </w:tc>
        <w:tc>
          <w:tcPr>
            <w:tcW w:w="1152" w:type="dxa"/>
          </w:tcPr>
          <w:p w:rsidR="00A82398" w:rsidRPr="00A82398" w:rsidRDefault="00A82398" w:rsidP="008F77E1">
            <w:pPr>
              <w:tabs>
                <w:tab w:val="decimal" w:pos="342"/>
              </w:tabs>
              <w:spacing w:before="120"/>
            </w:pPr>
            <w:r w:rsidRPr="00A82398">
              <w:t>0.20**</w:t>
            </w:r>
          </w:p>
        </w:tc>
        <w:tc>
          <w:tcPr>
            <w:tcW w:w="236" w:type="dxa"/>
          </w:tcPr>
          <w:p w:rsidR="00A82398" w:rsidRPr="008F664F" w:rsidRDefault="00A82398" w:rsidP="008F77E1">
            <w:pPr>
              <w:tabs>
                <w:tab w:val="decimal" w:pos="342"/>
              </w:tabs>
              <w:spacing w:before="120"/>
            </w:pPr>
          </w:p>
        </w:tc>
        <w:tc>
          <w:tcPr>
            <w:tcW w:w="1152" w:type="dxa"/>
          </w:tcPr>
          <w:p w:rsidR="00A82398" w:rsidRPr="00A82398" w:rsidRDefault="00A82398" w:rsidP="008F77E1">
            <w:pPr>
              <w:tabs>
                <w:tab w:val="decimal" w:pos="342"/>
              </w:tabs>
              <w:spacing w:before="120"/>
            </w:pPr>
            <w:r w:rsidRPr="00A82398">
              <w:t>0.13</w:t>
            </w:r>
          </w:p>
        </w:tc>
        <w:tc>
          <w:tcPr>
            <w:tcW w:w="1152" w:type="dxa"/>
          </w:tcPr>
          <w:p w:rsidR="00A82398" w:rsidRPr="00A82398" w:rsidRDefault="00A82398" w:rsidP="008F77E1">
            <w:pPr>
              <w:tabs>
                <w:tab w:val="decimal" w:pos="342"/>
              </w:tabs>
              <w:spacing w:before="120"/>
            </w:pPr>
            <w:r w:rsidRPr="00A82398">
              <w:t>0.79*</w:t>
            </w:r>
          </w:p>
        </w:tc>
        <w:tc>
          <w:tcPr>
            <w:tcW w:w="1152" w:type="dxa"/>
          </w:tcPr>
          <w:p w:rsidR="00A82398" w:rsidRPr="00A82398" w:rsidRDefault="00A82398" w:rsidP="008F77E1">
            <w:pPr>
              <w:tabs>
                <w:tab w:val="decimal" w:pos="342"/>
              </w:tabs>
              <w:spacing w:before="120"/>
            </w:pPr>
            <w:r w:rsidRPr="00A82398">
              <w:t>0.31**</w:t>
            </w:r>
          </w:p>
        </w:tc>
      </w:tr>
      <w:tr w:rsidR="00A82398" w:rsidRPr="008F664F" w:rsidTr="006C05F2">
        <w:tc>
          <w:tcPr>
            <w:tcW w:w="2538" w:type="dxa"/>
            <w:vMerge/>
          </w:tcPr>
          <w:p w:rsidR="00A82398" w:rsidRPr="008F664F" w:rsidRDefault="00A82398" w:rsidP="008F77E1">
            <w:pPr>
              <w:spacing w:before="120"/>
              <w:ind w:left="540" w:hanging="540"/>
            </w:pPr>
          </w:p>
        </w:tc>
        <w:tc>
          <w:tcPr>
            <w:tcW w:w="1152" w:type="dxa"/>
          </w:tcPr>
          <w:p w:rsidR="00A82398" w:rsidRPr="00A82398" w:rsidRDefault="00A82398" w:rsidP="00A82398">
            <w:pPr>
              <w:tabs>
                <w:tab w:val="decimal" w:pos="342"/>
              </w:tabs>
            </w:pPr>
            <w:r w:rsidRPr="00A82398">
              <w:t>(0.39)</w:t>
            </w:r>
          </w:p>
        </w:tc>
        <w:tc>
          <w:tcPr>
            <w:tcW w:w="1152" w:type="dxa"/>
          </w:tcPr>
          <w:p w:rsidR="00A82398" w:rsidRPr="00A82398" w:rsidRDefault="00A82398" w:rsidP="00A82398">
            <w:pPr>
              <w:tabs>
                <w:tab w:val="decimal" w:pos="342"/>
              </w:tabs>
            </w:pPr>
            <w:r w:rsidRPr="00A82398">
              <w:t>(0.31)</w:t>
            </w:r>
          </w:p>
        </w:tc>
        <w:tc>
          <w:tcPr>
            <w:tcW w:w="1152" w:type="dxa"/>
          </w:tcPr>
          <w:p w:rsidR="00A82398" w:rsidRPr="00A82398" w:rsidRDefault="00A82398" w:rsidP="00A82398">
            <w:pPr>
              <w:tabs>
                <w:tab w:val="decimal" w:pos="342"/>
              </w:tabs>
            </w:pPr>
            <w:r w:rsidRPr="00A82398">
              <w:t>(0.10)</w:t>
            </w:r>
          </w:p>
        </w:tc>
        <w:tc>
          <w:tcPr>
            <w:tcW w:w="236" w:type="dxa"/>
          </w:tcPr>
          <w:p w:rsidR="00A82398" w:rsidRPr="008F664F" w:rsidRDefault="00A82398" w:rsidP="00A82398">
            <w:pPr>
              <w:tabs>
                <w:tab w:val="decimal" w:pos="342"/>
              </w:tabs>
            </w:pPr>
          </w:p>
        </w:tc>
        <w:tc>
          <w:tcPr>
            <w:tcW w:w="1152" w:type="dxa"/>
          </w:tcPr>
          <w:p w:rsidR="00A82398" w:rsidRPr="00A82398" w:rsidRDefault="00A82398" w:rsidP="00A82398">
            <w:pPr>
              <w:tabs>
                <w:tab w:val="decimal" w:pos="342"/>
              </w:tabs>
            </w:pPr>
            <w:r w:rsidRPr="00A82398">
              <w:t>(0.17)</w:t>
            </w:r>
          </w:p>
        </w:tc>
        <w:tc>
          <w:tcPr>
            <w:tcW w:w="1152" w:type="dxa"/>
          </w:tcPr>
          <w:p w:rsidR="00A82398" w:rsidRPr="00A82398" w:rsidRDefault="00A82398" w:rsidP="00A82398">
            <w:pPr>
              <w:tabs>
                <w:tab w:val="decimal" w:pos="342"/>
              </w:tabs>
            </w:pPr>
            <w:r w:rsidRPr="00A82398">
              <w:t>(0.44)</w:t>
            </w:r>
          </w:p>
        </w:tc>
        <w:tc>
          <w:tcPr>
            <w:tcW w:w="1152" w:type="dxa"/>
          </w:tcPr>
          <w:p w:rsidR="00A82398" w:rsidRPr="00A82398" w:rsidRDefault="00A82398" w:rsidP="00A82398">
            <w:pPr>
              <w:tabs>
                <w:tab w:val="decimal" w:pos="342"/>
              </w:tabs>
            </w:pPr>
            <w:r w:rsidRPr="00A82398">
              <w:t>(0.16)</w:t>
            </w:r>
          </w:p>
        </w:tc>
      </w:tr>
      <w:tr w:rsidR="00A82398" w:rsidRPr="008F664F" w:rsidTr="006C05F2">
        <w:tc>
          <w:tcPr>
            <w:tcW w:w="2538" w:type="dxa"/>
            <w:vMerge w:val="restart"/>
          </w:tcPr>
          <w:p w:rsidR="00A82398" w:rsidRPr="008F664F" w:rsidRDefault="00A82398" w:rsidP="008F77E1">
            <w:pPr>
              <w:spacing w:before="120"/>
              <w:ind w:left="540" w:hanging="540"/>
            </w:pPr>
            <w:r w:rsidRPr="008F664F">
              <w:t>Real exports</w:t>
            </w:r>
          </w:p>
        </w:tc>
        <w:tc>
          <w:tcPr>
            <w:tcW w:w="1152" w:type="dxa"/>
          </w:tcPr>
          <w:p w:rsidR="00A82398" w:rsidRPr="00A82398" w:rsidRDefault="00A82398" w:rsidP="008F77E1">
            <w:pPr>
              <w:tabs>
                <w:tab w:val="decimal" w:pos="342"/>
              </w:tabs>
              <w:spacing w:before="120"/>
            </w:pPr>
            <w:r w:rsidRPr="00A82398">
              <w:t>-0.10</w:t>
            </w:r>
          </w:p>
        </w:tc>
        <w:tc>
          <w:tcPr>
            <w:tcW w:w="1152" w:type="dxa"/>
          </w:tcPr>
          <w:p w:rsidR="00A82398" w:rsidRPr="00A82398" w:rsidRDefault="00A82398" w:rsidP="008F77E1">
            <w:pPr>
              <w:tabs>
                <w:tab w:val="decimal" w:pos="342"/>
              </w:tabs>
              <w:spacing w:before="120"/>
            </w:pPr>
            <w:r w:rsidRPr="00A82398">
              <w:t>-0.30</w:t>
            </w:r>
          </w:p>
        </w:tc>
        <w:tc>
          <w:tcPr>
            <w:tcW w:w="1152" w:type="dxa"/>
          </w:tcPr>
          <w:p w:rsidR="00A82398" w:rsidRPr="00A82398" w:rsidRDefault="00A82398" w:rsidP="008F77E1">
            <w:pPr>
              <w:tabs>
                <w:tab w:val="decimal" w:pos="342"/>
              </w:tabs>
              <w:spacing w:before="120"/>
            </w:pPr>
            <w:r w:rsidRPr="00A82398">
              <w:t>-0.13</w:t>
            </w:r>
          </w:p>
        </w:tc>
        <w:tc>
          <w:tcPr>
            <w:tcW w:w="236" w:type="dxa"/>
          </w:tcPr>
          <w:p w:rsidR="00A82398" w:rsidRPr="008F664F" w:rsidRDefault="00A82398" w:rsidP="008F77E1">
            <w:pPr>
              <w:tabs>
                <w:tab w:val="decimal" w:pos="342"/>
              </w:tabs>
              <w:spacing w:before="120"/>
            </w:pPr>
          </w:p>
        </w:tc>
        <w:tc>
          <w:tcPr>
            <w:tcW w:w="1152" w:type="dxa"/>
          </w:tcPr>
          <w:p w:rsidR="00A82398" w:rsidRPr="00A82398" w:rsidRDefault="00A82398" w:rsidP="008F77E1">
            <w:pPr>
              <w:tabs>
                <w:tab w:val="decimal" w:pos="342"/>
              </w:tabs>
              <w:spacing w:before="120"/>
            </w:pPr>
            <w:r w:rsidRPr="00A82398">
              <w:t>0.54</w:t>
            </w:r>
          </w:p>
        </w:tc>
        <w:tc>
          <w:tcPr>
            <w:tcW w:w="1152" w:type="dxa"/>
          </w:tcPr>
          <w:p w:rsidR="00A82398" w:rsidRPr="00A82398" w:rsidRDefault="00A82398" w:rsidP="008F77E1">
            <w:pPr>
              <w:tabs>
                <w:tab w:val="decimal" w:pos="342"/>
              </w:tabs>
              <w:spacing w:before="120"/>
            </w:pPr>
            <w:r w:rsidRPr="00A82398">
              <w:t>0.17</w:t>
            </w:r>
          </w:p>
        </w:tc>
        <w:tc>
          <w:tcPr>
            <w:tcW w:w="1152" w:type="dxa"/>
          </w:tcPr>
          <w:p w:rsidR="00A82398" w:rsidRPr="00A82398" w:rsidRDefault="00A82398" w:rsidP="008F77E1">
            <w:pPr>
              <w:tabs>
                <w:tab w:val="decimal" w:pos="342"/>
              </w:tabs>
              <w:spacing w:before="120"/>
            </w:pPr>
            <w:r w:rsidRPr="00A82398">
              <w:t>0.00</w:t>
            </w:r>
          </w:p>
        </w:tc>
      </w:tr>
      <w:tr w:rsidR="00A82398" w:rsidRPr="008F664F" w:rsidTr="006C05F2">
        <w:tc>
          <w:tcPr>
            <w:tcW w:w="2538" w:type="dxa"/>
            <w:vMerge/>
          </w:tcPr>
          <w:p w:rsidR="00A82398" w:rsidRPr="008F664F" w:rsidRDefault="00A82398" w:rsidP="008F77E1">
            <w:pPr>
              <w:spacing w:before="120"/>
              <w:ind w:left="540" w:hanging="540"/>
            </w:pPr>
          </w:p>
        </w:tc>
        <w:tc>
          <w:tcPr>
            <w:tcW w:w="1152" w:type="dxa"/>
          </w:tcPr>
          <w:p w:rsidR="00A82398" w:rsidRPr="00A82398" w:rsidRDefault="00A82398" w:rsidP="00A82398">
            <w:pPr>
              <w:tabs>
                <w:tab w:val="decimal" w:pos="342"/>
              </w:tabs>
            </w:pPr>
            <w:r w:rsidRPr="00A82398">
              <w:t>(0.39)</w:t>
            </w:r>
          </w:p>
        </w:tc>
        <w:tc>
          <w:tcPr>
            <w:tcW w:w="1152" w:type="dxa"/>
          </w:tcPr>
          <w:p w:rsidR="00A82398" w:rsidRPr="00A82398" w:rsidRDefault="00A82398" w:rsidP="00A82398">
            <w:pPr>
              <w:tabs>
                <w:tab w:val="decimal" w:pos="342"/>
              </w:tabs>
            </w:pPr>
            <w:r w:rsidRPr="00A82398">
              <w:t>(0.45)</w:t>
            </w:r>
          </w:p>
        </w:tc>
        <w:tc>
          <w:tcPr>
            <w:tcW w:w="1152" w:type="dxa"/>
          </w:tcPr>
          <w:p w:rsidR="00A82398" w:rsidRPr="00A82398" w:rsidRDefault="00A82398" w:rsidP="00A82398">
            <w:pPr>
              <w:tabs>
                <w:tab w:val="decimal" w:pos="342"/>
              </w:tabs>
            </w:pPr>
            <w:r w:rsidRPr="00A82398">
              <w:t>(0.17)</w:t>
            </w:r>
          </w:p>
        </w:tc>
        <w:tc>
          <w:tcPr>
            <w:tcW w:w="236" w:type="dxa"/>
          </w:tcPr>
          <w:p w:rsidR="00A82398" w:rsidRPr="008F664F" w:rsidRDefault="00A82398" w:rsidP="00A82398">
            <w:pPr>
              <w:tabs>
                <w:tab w:val="decimal" w:pos="342"/>
              </w:tabs>
            </w:pPr>
          </w:p>
        </w:tc>
        <w:tc>
          <w:tcPr>
            <w:tcW w:w="1152" w:type="dxa"/>
          </w:tcPr>
          <w:p w:rsidR="00A82398" w:rsidRPr="00A82398" w:rsidRDefault="00A82398" w:rsidP="00A82398">
            <w:pPr>
              <w:tabs>
                <w:tab w:val="decimal" w:pos="342"/>
              </w:tabs>
            </w:pPr>
            <w:r w:rsidRPr="00A82398">
              <w:t>(0.51)</w:t>
            </w:r>
          </w:p>
        </w:tc>
        <w:tc>
          <w:tcPr>
            <w:tcW w:w="1152" w:type="dxa"/>
          </w:tcPr>
          <w:p w:rsidR="00A82398" w:rsidRPr="00A82398" w:rsidRDefault="00A82398" w:rsidP="00A82398">
            <w:pPr>
              <w:tabs>
                <w:tab w:val="decimal" w:pos="342"/>
              </w:tabs>
            </w:pPr>
            <w:r w:rsidRPr="00A82398">
              <w:t>(0.21)</w:t>
            </w:r>
          </w:p>
        </w:tc>
        <w:tc>
          <w:tcPr>
            <w:tcW w:w="1152" w:type="dxa"/>
          </w:tcPr>
          <w:p w:rsidR="00A82398" w:rsidRPr="00A82398" w:rsidRDefault="00A82398" w:rsidP="00A82398">
            <w:pPr>
              <w:tabs>
                <w:tab w:val="decimal" w:pos="342"/>
              </w:tabs>
            </w:pPr>
            <w:r w:rsidRPr="00A82398">
              <w:t>(0.19)</w:t>
            </w:r>
          </w:p>
        </w:tc>
      </w:tr>
      <w:tr w:rsidR="00A82398" w:rsidRPr="008F664F" w:rsidTr="006C05F2">
        <w:tc>
          <w:tcPr>
            <w:tcW w:w="2538" w:type="dxa"/>
            <w:vMerge w:val="restart"/>
          </w:tcPr>
          <w:p w:rsidR="00A82398" w:rsidRPr="008F664F" w:rsidRDefault="00A82398" w:rsidP="008F77E1">
            <w:pPr>
              <w:spacing w:before="120"/>
              <w:ind w:left="540" w:hanging="540"/>
            </w:pPr>
            <w:r w:rsidRPr="008F664F">
              <w:t>Real imports</w:t>
            </w:r>
          </w:p>
        </w:tc>
        <w:tc>
          <w:tcPr>
            <w:tcW w:w="1152" w:type="dxa"/>
          </w:tcPr>
          <w:p w:rsidR="00A82398" w:rsidRPr="00A82398" w:rsidRDefault="00A82398" w:rsidP="008F77E1">
            <w:pPr>
              <w:tabs>
                <w:tab w:val="decimal" w:pos="342"/>
              </w:tabs>
              <w:spacing w:before="120"/>
            </w:pPr>
            <w:r w:rsidRPr="00A82398">
              <w:t>0.60</w:t>
            </w:r>
          </w:p>
        </w:tc>
        <w:tc>
          <w:tcPr>
            <w:tcW w:w="1152" w:type="dxa"/>
          </w:tcPr>
          <w:p w:rsidR="00A82398" w:rsidRPr="00A82398" w:rsidRDefault="00A82398" w:rsidP="008F77E1">
            <w:pPr>
              <w:tabs>
                <w:tab w:val="decimal" w:pos="342"/>
              </w:tabs>
              <w:spacing w:before="120"/>
            </w:pPr>
            <w:r w:rsidRPr="00A82398">
              <w:t>-0.04</w:t>
            </w:r>
          </w:p>
        </w:tc>
        <w:tc>
          <w:tcPr>
            <w:tcW w:w="1152" w:type="dxa"/>
          </w:tcPr>
          <w:p w:rsidR="00A82398" w:rsidRPr="00A82398" w:rsidRDefault="00A82398" w:rsidP="008F77E1">
            <w:pPr>
              <w:tabs>
                <w:tab w:val="decimal" w:pos="342"/>
              </w:tabs>
              <w:spacing w:before="120"/>
            </w:pPr>
            <w:r w:rsidRPr="00A82398">
              <w:t>0.36</w:t>
            </w:r>
          </w:p>
        </w:tc>
        <w:tc>
          <w:tcPr>
            <w:tcW w:w="236" w:type="dxa"/>
          </w:tcPr>
          <w:p w:rsidR="00A82398" w:rsidRPr="008F664F" w:rsidRDefault="00A82398" w:rsidP="008F77E1">
            <w:pPr>
              <w:tabs>
                <w:tab w:val="decimal" w:pos="342"/>
              </w:tabs>
              <w:spacing w:before="120"/>
            </w:pPr>
          </w:p>
        </w:tc>
        <w:tc>
          <w:tcPr>
            <w:tcW w:w="1152" w:type="dxa"/>
          </w:tcPr>
          <w:p w:rsidR="00A82398" w:rsidRPr="00A82398" w:rsidRDefault="00A82398" w:rsidP="008F77E1">
            <w:pPr>
              <w:tabs>
                <w:tab w:val="decimal" w:pos="342"/>
              </w:tabs>
              <w:spacing w:before="120"/>
            </w:pPr>
            <w:r w:rsidRPr="00A82398">
              <w:t>0.88</w:t>
            </w:r>
          </w:p>
        </w:tc>
        <w:tc>
          <w:tcPr>
            <w:tcW w:w="1152" w:type="dxa"/>
          </w:tcPr>
          <w:p w:rsidR="00A82398" w:rsidRPr="00A82398" w:rsidRDefault="00A82398" w:rsidP="008F77E1">
            <w:pPr>
              <w:tabs>
                <w:tab w:val="decimal" w:pos="342"/>
              </w:tabs>
              <w:spacing w:before="120"/>
            </w:pPr>
            <w:r w:rsidRPr="00A82398">
              <w:t>0.51</w:t>
            </w:r>
          </w:p>
        </w:tc>
        <w:tc>
          <w:tcPr>
            <w:tcW w:w="1152" w:type="dxa"/>
          </w:tcPr>
          <w:p w:rsidR="00A82398" w:rsidRPr="00A82398" w:rsidRDefault="00A82398" w:rsidP="008F77E1">
            <w:pPr>
              <w:tabs>
                <w:tab w:val="decimal" w:pos="342"/>
              </w:tabs>
              <w:spacing w:before="120"/>
            </w:pPr>
            <w:r w:rsidRPr="00A82398">
              <w:t>0.50**</w:t>
            </w:r>
          </w:p>
        </w:tc>
      </w:tr>
      <w:tr w:rsidR="00A82398" w:rsidRPr="008F664F" w:rsidTr="006C05F2">
        <w:tc>
          <w:tcPr>
            <w:tcW w:w="2538" w:type="dxa"/>
            <w:vMerge/>
          </w:tcPr>
          <w:p w:rsidR="00A82398" w:rsidRPr="008F664F" w:rsidRDefault="00A82398" w:rsidP="008F77E1">
            <w:pPr>
              <w:spacing w:before="120"/>
              <w:ind w:left="540" w:hanging="540"/>
            </w:pPr>
          </w:p>
        </w:tc>
        <w:tc>
          <w:tcPr>
            <w:tcW w:w="1152" w:type="dxa"/>
          </w:tcPr>
          <w:p w:rsidR="00A82398" w:rsidRPr="00A82398" w:rsidRDefault="00A82398" w:rsidP="00A82398">
            <w:pPr>
              <w:tabs>
                <w:tab w:val="decimal" w:pos="342"/>
              </w:tabs>
            </w:pPr>
            <w:r w:rsidRPr="00A82398">
              <w:t>(0.46)</w:t>
            </w:r>
          </w:p>
        </w:tc>
        <w:tc>
          <w:tcPr>
            <w:tcW w:w="1152" w:type="dxa"/>
          </w:tcPr>
          <w:p w:rsidR="00A82398" w:rsidRPr="00A82398" w:rsidRDefault="00A82398" w:rsidP="00A82398">
            <w:pPr>
              <w:tabs>
                <w:tab w:val="decimal" w:pos="342"/>
              </w:tabs>
            </w:pPr>
            <w:r w:rsidRPr="00A82398">
              <w:t>(0.51)</w:t>
            </w:r>
          </w:p>
        </w:tc>
        <w:tc>
          <w:tcPr>
            <w:tcW w:w="1152" w:type="dxa"/>
          </w:tcPr>
          <w:p w:rsidR="00A82398" w:rsidRPr="00A82398" w:rsidRDefault="00A82398" w:rsidP="00A82398">
            <w:pPr>
              <w:tabs>
                <w:tab w:val="decimal" w:pos="342"/>
              </w:tabs>
            </w:pPr>
            <w:r w:rsidRPr="00A82398">
              <w:t>(0.24)</w:t>
            </w:r>
          </w:p>
        </w:tc>
        <w:tc>
          <w:tcPr>
            <w:tcW w:w="236" w:type="dxa"/>
          </w:tcPr>
          <w:p w:rsidR="00A82398" w:rsidRPr="008F664F" w:rsidRDefault="00A82398" w:rsidP="00A82398">
            <w:pPr>
              <w:tabs>
                <w:tab w:val="decimal" w:pos="342"/>
              </w:tabs>
            </w:pPr>
          </w:p>
        </w:tc>
        <w:tc>
          <w:tcPr>
            <w:tcW w:w="1152" w:type="dxa"/>
          </w:tcPr>
          <w:p w:rsidR="00A82398" w:rsidRPr="00A82398" w:rsidRDefault="00A82398" w:rsidP="00A82398">
            <w:pPr>
              <w:tabs>
                <w:tab w:val="decimal" w:pos="342"/>
              </w:tabs>
            </w:pPr>
            <w:r w:rsidRPr="00A82398">
              <w:t>(0.57)</w:t>
            </w:r>
          </w:p>
        </w:tc>
        <w:tc>
          <w:tcPr>
            <w:tcW w:w="1152" w:type="dxa"/>
          </w:tcPr>
          <w:p w:rsidR="00A82398" w:rsidRPr="00A82398" w:rsidRDefault="00A82398" w:rsidP="00A82398">
            <w:pPr>
              <w:tabs>
                <w:tab w:val="decimal" w:pos="342"/>
              </w:tabs>
            </w:pPr>
            <w:r w:rsidRPr="00A82398">
              <w:t>(0.43)</w:t>
            </w:r>
          </w:p>
        </w:tc>
        <w:tc>
          <w:tcPr>
            <w:tcW w:w="1152" w:type="dxa"/>
          </w:tcPr>
          <w:p w:rsidR="00A82398" w:rsidRPr="00A82398" w:rsidRDefault="00A82398" w:rsidP="00A82398">
            <w:pPr>
              <w:tabs>
                <w:tab w:val="decimal" w:pos="342"/>
              </w:tabs>
            </w:pPr>
            <w:r w:rsidRPr="00A82398">
              <w:t>(0.23)</w:t>
            </w:r>
          </w:p>
        </w:tc>
      </w:tr>
      <w:tr w:rsidR="00A82398" w:rsidRPr="008F664F" w:rsidTr="006C05F2">
        <w:tc>
          <w:tcPr>
            <w:tcW w:w="2538" w:type="dxa"/>
            <w:vMerge w:val="restart"/>
          </w:tcPr>
          <w:p w:rsidR="00A82398" w:rsidRPr="008F664F" w:rsidRDefault="00A82398" w:rsidP="008F77E1">
            <w:pPr>
              <w:spacing w:before="120"/>
              <w:ind w:left="540" w:hanging="540"/>
            </w:pPr>
            <w:r w:rsidRPr="008F664F">
              <w:t>Consumer price index</w:t>
            </w:r>
          </w:p>
        </w:tc>
        <w:tc>
          <w:tcPr>
            <w:tcW w:w="1152" w:type="dxa"/>
          </w:tcPr>
          <w:p w:rsidR="00A82398" w:rsidRPr="00A82398" w:rsidRDefault="00A82398" w:rsidP="008F77E1">
            <w:pPr>
              <w:tabs>
                <w:tab w:val="decimal" w:pos="342"/>
              </w:tabs>
              <w:spacing w:before="120"/>
            </w:pPr>
            <w:r w:rsidRPr="00A82398">
              <w:t>-0.06</w:t>
            </w:r>
          </w:p>
        </w:tc>
        <w:tc>
          <w:tcPr>
            <w:tcW w:w="1152" w:type="dxa"/>
          </w:tcPr>
          <w:p w:rsidR="00A82398" w:rsidRPr="00A82398" w:rsidRDefault="00A82398" w:rsidP="008F77E1">
            <w:pPr>
              <w:tabs>
                <w:tab w:val="decimal" w:pos="342"/>
              </w:tabs>
              <w:spacing w:before="120"/>
            </w:pPr>
            <w:r w:rsidRPr="00A82398">
              <w:t>-0.01</w:t>
            </w:r>
          </w:p>
        </w:tc>
        <w:tc>
          <w:tcPr>
            <w:tcW w:w="1152" w:type="dxa"/>
          </w:tcPr>
          <w:p w:rsidR="00A82398" w:rsidRPr="00A82398" w:rsidRDefault="00A82398" w:rsidP="008F77E1">
            <w:pPr>
              <w:tabs>
                <w:tab w:val="decimal" w:pos="342"/>
              </w:tabs>
              <w:spacing w:before="120"/>
            </w:pPr>
            <w:r w:rsidRPr="00A82398">
              <w:t>-0.02</w:t>
            </w:r>
          </w:p>
        </w:tc>
        <w:tc>
          <w:tcPr>
            <w:tcW w:w="236" w:type="dxa"/>
          </w:tcPr>
          <w:p w:rsidR="00A82398" w:rsidRPr="008F664F" w:rsidRDefault="00A82398" w:rsidP="008F77E1">
            <w:pPr>
              <w:tabs>
                <w:tab w:val="decimal" w:pos="342"/>
              </w:tabs>
              <w:spacing w:before="120"/>
            </w:pPr>
          </w:p>
        </w:tc>
        <w:tc>
          <w:tcPr>
            <w:tcW w:w="1152" w:type="dxa"/>
          </w:tcPr>
          <w:p w:rsidR="00A82398" w:rsidRPr="00A82398" w:rsidRDefault="00A82398" w:rsidP="008F77E1">
            <w:pPr>
              <w:tabs>
                <w:tab w:val="decimal" w:pos="342"/>
              </w:tabs>
              <w:spacing w:before="120"/>
            </w:pPr>
            <w:r w:rsidRPr="00A82398">
              <w:t>0.07</w:t>
            </w:r>
          </w:p>
        </w:tc>
        <w:tc>
          <w:tcPr>
            <w:tcW w:w="1152" w:type="dxa"/>
          </w:tcPr>
          <w:p w:rsidR="00A82398" w:rsidRPr="00A82398" w:rsidRDefault="00A82398" w:rsidP="008F77E1">
            <w:pPr>
              <w:tabs>
                <w:tab w:val="decimal" w:pos="342"/>
              </w:tabs>
              <w:spacing w:before="120"/>
            </w:pPr>
            <w:r w:rsidRPr="00A82398">
              <w:t>0.18**</w:t>
            </w:r>
          </w:p>
        </w:tc>
        <w:tc>
          <w:tcPr>
            <w:tcW w:w="1152" w:type="dxa"/>
          </w:tcPr>
          <w:p w:rsidR="00A82398" w:rsidRPr="00A82398" w:rsidRDefault="00A82398" w:rsidP="008F77E1">
            <w:pPr>
              <w:tabs>
                <w:tab w:val="decimal" w:pos="342"/>
              </w:tabs>
              <w:spacing w:before="120"/>
            </w:pPr>
            <w:r w:rsidRPr="00A82398">
              <w:t>0.02</w:t>
            </w:r>
          </w:p>
        </w:tc>
      </w:tr>
      <w:tr w:rsidR="00A82398" w:rsidRPr="008F664F" w:rsidTr="006C05F2">
        <w:tc>
          <w:tcPr>
            <w:tcW w:w="2538" w:type="dxa"/>
            <w:vMerge/>
          </w:tcPr>
          <w:p w:rsidR="00A82398" w:rsidRPr="008F664F" w:rsidRDefault="00A82398" w:rsidP="008F77E1">
            <w:pPr>
              <w:spacing w:before="120"/>
              <w:ind w:left="540" w:hanging="540"/>
            </w:pPr>
          </w:p>
        </w:tc>
        <w:tc>
          <w:tcPr>
            <w:tcW w:w="1152" w:type="dxa"/>
          </w:tcPr>
          <w:p w:rsidR="00A82398" w:rsidRPr="00A82398" w:rsidRDefault="00A82398" w:rsidP="00A82398">
            <w:pPr>
              <w:tabs>
                <w:tab w:val="decimal" w:pos="342"/>
              </w:tabs>
            </w:pPr>
            <w:r w:rsidRPr="00A82398">
              <w:t>(0.21)</w:t>
            </w:r>
          </w:p>
        </w:tc>
        <w:tc>
          <w:tcPr>
            <w:tcW w:w="1152" w:type="dxa"/>
          </w:tcPr>
          <w:p w:rsidR="00A82398" w:rsidRPr="00A82398" w:rsidRDefault="00A82398" w:rsidP="00A82398">
            <w:pPr>
              <w:tabs>
                <w:tab w:val="decimal" w:pos="342"/>
              </w:tabs>
            </w:pPr>
            <w:r w:rsidRPr="00A82398">
              <w:t>(0.15)</w:t>
            </w:r>
          </w:p>
        </w:tc>
        <w:tc>
          <w:tcPr>
            <w:tcW w:w="1152" w:type="dxa"/>
          </w:tcPr>
          <w:p w:rsidR="00A82398" w:rsidRPr="00A82398" w:rsidRDefault="00A82398" w:rsidP="00A82398">
            <w:pPr>
              <w:tabs>
                <w:tab w:val="decimal" w:pos="342"/>
              </w:tabs>
            </w:pPr>
            <w:r w:rsidRPr="00A82398">
              <w:t>(0.07)</w:t>
            </w:r>
          </w:p>
        </w:tc>
        <w:tc>
          <w:tcPr>
            <w:tcW w:w="236" w:type="dxa"/>
          </w:tcPr>
          <w:p w:rsidR="00A82398" w:rsidRPr="008F664F" w:rsidRDefault="00A82398" w:rsidP="00A82398">
            <w:pPr>
              <w:tabs>
                <w:tab w:val="decimal" w:pos="342"/>
              </w:tabs>
            </w:pPr>
          </w:p>
        </w:tc>
        <w:tc>
          <w:tcPr>
            <w:tcW w:w="1152" w:type="dxa"/>
          </w:tcPr>
          <w:p w:rsidR="00A82398" w:rsidRPr="00A82398" w:rsidRDefault="00A82398" w:rsidP="00A82398">
            <w:pPr>
              <w:tabs>
                <w:tab w:val="decimal" w:pos="342"/>
              </w:tabs>
            </w:pPr>
            <w:r w:rsidRPr="00A82398">
              <w:t>(0.26)</w:t>
            </w:r>
          </w:p>
        </w:tc>
        <w:tc>
          <w:tcPr>
            <w:tcW w:w="1152" w:type="dxa"/>
          </w:tcPr>
          <w:p w:rsidR="00A82398" w:rsidRPr="00A82398" w:rsidRDefault="00A82398" w:rsidP="00A82398">
            <w:pPr>
              <w:tabs>
                <w:tab w:val="decimal" w:pos="342"/>
              </w:tabs>
            </w:pPr>
            <w:r w:rsidRPr="00A82398">
              <w:t>(0.08)</w:t>
            </w:r>
          </w:p>
        </w:tc>
        <w:tc>
          <w:tcPr>
            <w:tcW w:w="1152" w:type="dxa"/>
          </w:tcPr>
          <w:p w:rsidR="00A82398" w:rsidRPr="00A82398" w:rsidRDefault="00A82398" w:rsidP="00A82398">
            <w:pPr>
              <w:tabs>
                <w:tab w:val="decimal" w:pos="342"/>
              </w:tabs>
            </w:pPr>
            <w:r w:rsidRPr="00A82398">
              <w:t>(0.08)</w:t>
            </w:r>
          </w:p>
        </w:tc>
      </w:tr>
      <w:tr w:rsidR="00A82398" w:rsidRPr="008F664F" w:rsidTr="006C05F2">
        <w:tc>
          <w:tcPr>
            <w:tcW w:w="2538" w:type="dxa"/>
            <w:vMerge w:val="restart"/>
          </w:tcPr>
          <w:p w:rsidR="00A82398" w:rsidRPr="008F664F" w:rsidRDefault="00A82398" w:rsidP="008F77E1">
            <w:pPr>
              <w:spacing w:before="120"/>
              <w:ind w:left="540" w:hanging="540"/>
            </w:pPr>
            <w:r w:rsidRPr="008F664F">
              <w:t>GDP deflator</w:t>
            </w:r>
          </w:p>
        </w:tc>
        <w:tc>
          <w:tcPr>
            <w:tcW w:w="1152" w:type="dxa"/>
          </w:tcPr>
          <w:p w:rsidR="00A82398" w:rsidRPr="00A82398" w:rsidRDefault="00A82398" w:rsidP="008F77E1">
            <w:pPr>
              <w:tabs>
                <w:tab w:val="decimal" w:pos="342"/>
              </w:tabs>
              <w:spacing w:before="120"/>
            </w:pPr>
            <w:r w:rsidRPr="00A82398">
              <w:t>0.00</w:t>
            </w:r>
          </w:p>
        </w:tc>
        <w:tc>
          <w:tcPr>
            <w:tcW w:w="1152" w:type="dxa"/>
          </w:tcPr>
          <w:p w:rsidR="00A82398" w:rsidRPr="00A82398" w:rsidRDefault="00A82398" w:rsidP="008F77E1">
            <w:pPr>
              <w:tabs>
                <w:tab w:val="decimal" w:pos="342"/>
              </w:tabs>
              <w:spacing w:before="120"/>
            </w:pPr>
            <w:r w:rsidRPr="00A82398">
              <w:t>0.13</w:t>
            </w:r>
          </w:p>
        </w:tc>
        <w:tc>
          <w:tcPr>
            <w:tcW w:w="1152" w:type="dxa"/>
          </w:tcPr>
          <w:p w:rsidR="00A82398" w:rsidRPr="00A82398" w:rsidRDefault="00A82398" w:rsidP="008F77E1">
            <w:pPr>
              <w:tabs>
                <w:tab w:val="decimal" w:pos="342"/>
              </w:tabs>
              <w:spacing w:before="120"/>
            </w:pPr>
            <w:r w:rsidRPr="00A82398">
              <w:t>0.09</w:t>
            </w:r>
          </w:p>
        </w:tc>
        <w:tc>
          <w:tcPr>
            <w:tcW w:w="236" w:type="dxa"/>
          </w:tcPr>
          <w:p w:rsidR="00A82398" w:rsidRPr="008F664F" w:rsidRDefault="00A82398" w:rsidP="008F77E1">
            <w:pPr>
              <w:tabs>
                <w:tab w:val="decimal" w:pos="342"/>
              </w:tabs>
              <w:spacing w:before="120"/>
            </w:pPr>
          </w:p>
        </w:tc>
        <w:tc>
          <w:tcPr>
            <w:tcW w:w="1152" w:type="dxa"/>
          </w:tcPr>
          <w:p w:rsidR="00A82398" w:rsidRPr="00A82398" w:rsidRDefault="00A82398" w:rsidP="008F77E1">
            <w:pPr>
              <w:tabs>
                <w:tab w:val="decimal" w:pos="342"/>
              </w:tabs>
              <w:spacing w:before="120"/>
            </w:pPr>
            <w:r w:rsidRPr="00A82398">
              <w:t>0.33</w:t>
            </w:r>
          </w:p>
        </w:tc>
        <w:tc>
          <w:tcPr>
            <w:tcW w:w="1152" w:type="dxa"/>
          </w:tcPr>
          <w:p w:rsidR="00A82398" w:rsidRPr="00A82398" w:rsidRDefault="00A82398" w:rsidP="008F77E1">
            <w:pPr>
              <w:tabs>
                <w:tab w:val="decimal" w:pos="342"/>
              </w:tabs>
              <w:spacing w:before="120"/>
            </w:pPr>
            <w:r w:rsidRPr="00A82398">
              <w:t>0.33</w:t>
            </w:r>
          </w:p>
        </w:tc>
        <w:tc>
          <w:tcPr>
            <w:tcW w:w="1152" w:type="dxa"/>
          </w:tcPr>
          <w:p w:rsidR="00A82398" w:rsidRPr="00A82398" w:rsidRDefault="00A82398" w:rsidP="008F77E1">
            <w:pPr>
              <w:tabs>
                <w:tab w:val="decimal" w:pos="342"/>
              </w:tabs>
              <w:spacing w:before="120"/>
            </w:pPr>
            <w:r w:rsidRPr="00A82398">
              <w:t>0.14</w:t>
            </w:r>
          </w:p>
        </w:tc>
      </w:tr>
      <w:tr w:rsidR="00A82398" w:rsidTr="006C05F2">
        <w:tc>
          <w:tcPr>
            <w:tcW w:w="2538" w:type="dxa"/>
            <w:vMerge/>
            <w:tcBorders>
              <w:bottom w:val="double" w:sz="4" w:space="0" w:color="auto"/>
            </w:tcBorders>
          </w:tcPr>
          <w:p w:rsidR="00A82398" w:rsidRPr="008F664F" w:rsidRDefault="00A82398" w:rsidP="008F77E1">
            <w:pPr>
              <w:ind w:left="540" w:hanging="540"/>
            </w:pPr>
          </w:p>
        </w:tc>
        <w:tc>
          <w:tcPr>
            <w:tcW w:w="1152" w:type="dxa"/>
            <w:tcBorders>
              <w:bottom w:val="double" w:sz="4" w:space="0" w:color="auto"/>
            </w:tcBorders>
          </w:tcPr>
          <w:p w:rsidR="00A82398" w:rsidRPr="00A82398" w:rsidRDefault="00A82398" w:rsidP="008F77E1">
            <w:pPr>
              <w:tabs>
                <w:tab w:val="decimal" w:pos="342"/>
              </w:tabs>
              <w:ind w:left="540" w:hanging="540"/>
            </w:pPr>
            <w:r w:rsidRPr="00A82398">
              <w:t>(0.22)</w:t>
            </w:r>
          </w:p>
        </w:tc>
        <w:tc>
          <w:tcPr>
            <w:tcW w:w="1152" w:type="dxa"/>
            <w:tcBorders>
              <w:bottom w:val="double" w:sz="4" w:space="0" w:color="auto"/>
            </w:tcBorders>
          </w:tcPr>
          <w:p w:rsidR="00A82398" w:rsidRPr="00A82398" w:rsidRDefault="00A82398" w:rsidP="008F77E1">
            <w:pPr>
              <w:tabs>
                <w:tab w:val="decimal" w:pos="342"/>
              </w:tabs>
              <w:ind w:left="540" w:hanging="540"/>
            </w:pPr>
            <w:r w:rsidRPr="00A82398">
              <w:t>(0.21)</w:t>
            </w:r>
          </w:p>
        </w:tc>
        <w:tc>
          <w:tcPr>
            <w:tcW w:w="1152" w:type="dxa"/>
            <w:tcBorders>
              <w:bottom w:val="double" w:sz="4" w:space="0" w:color="auto"/>
            </w:tcBorders>
          </w:tcPr>
          <w:p w:rsidR="00A82398" w:rsidRPr="00A82398" w:rsidRDefault="00A82398" w:rsidP="008F77E1">
            <w:pPr>
              <w:tabs>
                <w:tab w:val="decimal" w:pos="342"/>
              </w:tabs>
              <w:ind w:left="540" w:hanging="540"/>
            </w:pPr>
            <w:r w:rsidRPr="00A82398">
              <w:t>(0.07)</w:t>
            </w:r>
          </w:p>
        </w:tc>
        <w:tc>
          <w:tcPr>
            <w:tcW w:w="236" w:type="dxa"/>
            <w:tcBorders>
              <w:bottom w:val="double" w:sz="4" w:space="0" w:color="auto"/>
            </w:tcBorders>
          </w:tcPr>
          <w:p w:rsidR="00A82398" w:rsidRPr="008F664F" w:rsidRDefault="00A82398" w:rsidP="008F77E1">
            <w:pPr>
              <w:tabs>
                <w:tab w:val="decimal" w:pos="342"/>
              </w:tabs>
              <w:ind w:left="540" w:hanging="540"/>
            </w:pPr>
          </w:p>
        </w:tc>
        <w:tc>
          <w:tcPr>
            <w:tcW w:w="1152" w:type="dxa"/>
            <w:tcBorders>
              <w:bottom w:val="double" w:sz="4" w:space="0" w:color="auto"/>
            </w:tcBorders>
          </w:tcPr>
          <w:p w:rsidR="00A82398" w:rsidRPr="00A82398" w:rsidRDefault="00A82398" w:rsidP="008F77E1">
            <w:pPr>
              <w:tabs>
                <w:tab w:val="decimal" w:pos="342"/>
              </w:tabs>
              <w:ind w:left="540" w:hanging="540"/>
            </w:pPr>
            <w:r w:rsidRPr="00A82398">
              <w:t>(0.23)</w:t>
            </w:r>
          </w:p>
        </w:tc>
        <w:tc>
          <w:tcPr>
            <w:tcW w:w="1152" w:type="dxa"/>
            <w:tcBorders>
              <w:bottom w:val="double" w:sz="4" w:space="0" w:color="auto"/>
            </w:tcBorders>
          </w:tcPr>
          <w:p w:rsidR="00A82398" w:rsidRPr="00A82398" w:rsidRDefault="00A82398" w:rsidP="008F77E1">
            <w:pPr>
              <w:tabs>
                <w:tab w:val="decimal" w:pos="342"/>
              </w:tabs>
              <w:ind w:left="540" w:hanging="540"/>
            </w:pPr>
            <w:r w:rsidRPr="00A82398">
              <w:t>(0.23)</w:t>
            </w:r>
          </w:p>
        </w:tc>
        <w:tc>
          <w:tcPr>
            <w:tcW w:w="1152" w:type="dxa"/>
            <w:tcBorders>
              <w:bottom w:val="double" w:sz="4" w:space="0" w:color="auto"/>
            </w:tcBorders>
          </w:tcPr>
          <w:p w:rsidR="00A82398" w:rsidRDefault="00A82398" w:rsidP="008F77E1">
            <w:pPr>
              <w:tabs>
                <w:tab w:val="decimal" w:pos="342"/>
              </w:tabs>
              <w:ind w:left="540" w:hanging="540"/>
            </w:pPr>
            <w:r w:rsidRPr="00A82398">
              <w:t>(0.11)</w:t>
            </w:r>
          </w:p>
        </w:tc>
      </w:tr>
    </w:tbl>
    <w:p w:rsidR="0039485A" w:rsidRPr="004720B0" w:rsidRDefault="0039485A" w:rsidP="0039485A">
      <w:pPr>
        <w:rPr>
          <w:sz w:val="22"/>
          <w:szCs w:val="22"/>
        </w:rPr>
      </w:pPr>
      <w:r w:rsidRPr="004720B0">
        <w:rPr>
          <w:sz w:val="22"/>
          <w:szCs w:val="22"/>
        </w:rPr>
        <w:t xml:space="preserve">Notes: The table report percent response of variables indicated in the left column. For unemployment, columns (4)-(6) show the minimal response. Mean and maximum responses are calculated over three years. </w:t>
      </w:r>
    </w:p>
    <w:p w:rsidR="00120AF6" w:rsidRDefault="00120AF6" w:rsidP="00120AF6"/>
    <w:p w:rsidR="008F664F" w:rsidRDefault="008F664F" w:rsidP="008F664F"/>
    <w:p w:rsidR="00A82398" w:rsidRDefault="00A82398" w:rsidP="00A82398"/>
    <w:sectPr w:rsidR="00A82398" w:rsidSect="00487FE3">
      <w:pgSz w:w="12240" w:h="15840"/>
      <w:pgMar w:top="90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ABB" w:rsidRDefault="00E54ABB" w:rsidP="00916E22">
      <w:r>
        <w:separator/>
      </w:r>
    </w:p>
  </w:endnote>
  <w:endnote w:type="continuationSeparator" w:id="0">
    <w:p w:rsidR="00E54ABB" w:rsidRDefault="00E54ABB" w:rsidP="00916E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TeX-NewCenturySchlbk-Roman">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82657"/>
      <w:docPartObj>
        <w:docPartGallery w:val="Page Numbers (Bottom of Page)"/>
        <w:docPartUnique/>
      </w:docPartObj>
    </w:sdtPr>
    <w:sdtContent>
      <w:p w:rsidR="00383617" w:rsidRDefault="0062653A">
        <w:pPr>
          <w:pStyle w:val="Footer"/>
          <w:jc w:val="right"/>
        </w:pPr>
        <w:fldSimple w:instr=" PAGE   \* MERGEFORMAT ">
          <w:r w:rsidR="005030AA">
            <w:rPr>
              <w:noProof/>
            </w:rPr>
            <w:t>26</w:t>
          </w:r>
        </w:fldSimple>
      </w:p>
    </w:sdtContent>
  </w:sdt>
  <w:p w:rsidR="00383617" w:rsidRDefault="003836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ABB" w:rsidRDefault="00E54ABB" w:rsidP="00916E22">
      <w:r>
        <w:separator/>
      </w:r>
    </w:p>
  </w:footnote>
  <w:footnote w:type="continuationSeparator" w:id="0">
    <w:p w:rsidR="00E54ABB" w:rsidRDefault="00E54ABB" w:rsidP="00916E22">
      <w:r>
        <w:continuationSeparator/>
      </w:r>
    </w:p>
  </w:footnote>
  <w:footnote w:id="1">
    <w:p w:rsidR="00383617" w:rsidRDefault="00383617" w:rsidP="00916E22">
      <w:pPr>
        <w:pStyle w:val="FootnoteText"/>
      </w:pPr>
      <w:r>
        <w:rPr>
          <w:rStyle w:val="FootnoteReference"/>
        </w:rPr>
        <w:footnoteRef/>
      </w:r>
      <w:r>
        <w:t xml:space="preserve"> We compare forecasts to contemporaneous measures to take account of subsequent data revisions.</w:t>
      </w:r>
    </w:p>
  </w:footnote>
  <w:footnote w:id="2">
    <w:p w:rsidR="00383617" w:rsidRDefault="00383617">
      <w:pPr>
        <w:pStyle w:val="FootnoteText"/>
      </w:pPr>
      <w:r>
        <w:rPr>
          <w:rStyle w:val="FootnoteReference"/>
        </w:rPr>
        <w:footnoteRef/>
      </w:r>
      <w:r>
        <w:t xml:space="preserve"> </w:t>
      </w:r>
      <w:hyperlink r:id="rId1" w:history="1">
        <w:r w:rsidRPr="004B2C81">
          <w:rPr>
            <w:rStyle w:val="Hyperlink"/>
          </w:rPr>
          <w:t>http://www.oecd.org/faq/0,3433,en_2649_33733_1798284_1_1_1_1,00.html</w:t>
        </w:r>
      </w:hyperlink>
      <w:r>
        <w:t xml:space="preserve"> </w:t>
      </w:r>
    </w:p>
  </w:footnote>
  <w:footnote w:id="3">
    <w:p w:rsidR="00383617" w:rsidRPr="00270005" w:rsidRDefault="00383617" w:rsidP="00270005">
      <w:pPr>
        <w:autoSpaceDE w:val="0"/>
        <w:autoSpaceDN w:val="0"/>
        <w:adjustRightInd w:val="0"/>
        <w:rPr>
          <w:sz w:val="20"/>
          <w:szCs w:val="20"/>
        </w:rPr>
      </w:pPr>
      <w:r w:rsidRPr="00270005">
        <w:rPr>
          <w:rStyle w:val="FootnoteReference"/>
          <w:sz w:val="20"/>
          <w:szCs w:val="20"/>
        </w:rPr>
        <w:footnoteRef/>
      </w:r>
      <w:r w:rsidRPr="00270005">
        <w:rPr>
          <w:sz w:val="20"/>
          <w:szCs w:val="20"/>
        </w:rPr>
        <w:t xml:space="preserve"> T</w:t>
      </w:r>
      <w:r w:rsidRPr="00270005">
        <w:rPr>
          <w:rFonts w:eastAsia="TeX-NewCenturySchlbk-Roman"/>
          <w:sz w:val="20"/>
          <w:szCs w:val="20"/>
        </w:rPr>
        <w:t xml:space="preserve">he responses are normalized so that the government spending response to a shock in </w:t>
      </w:r>
      <m:oMath>
        <m:sSubSup>
          <m:sSubSupPr>
            <m:ctrlPr>
              <w:rPr>
                <w:rFonts w:ascii="Cambria Math" w:hAnsi="Cambria Math"/>
                <w:i/>
                <w:sz w:val="20"/>
                <w:szCs w:val="20"/>
              </w:rPr>
            </m:ctrlPr>
          </m:sSubSupPr>
          <m:e>
            <m:r>
              <w:rPr>
                <w:rFonts w:ascii="Cambria Math" w:hAnsi="Cambria Math"/>
                <w:sz w:val="20"/>
                <w:szCs w:val="20"/>
              </w:rPr>
              <m:t>FE</m:t>
            </m:r>
          </m:e>
          <m:sub>
            <m:r>
              <w:rPr>
                <w:rFonts w:ascii="Cambria Math" w:hAnsi="Cambria Math"/>
                <w:sz w:val="20"/>
                <w:szCs w:val="20"/>
              </w:rPr>
              <m:t>it</m:t>
            </m:r>
          </m:sub>
          <m:sup>
            <m:r>
              <w:rPr>
                <w:rFonts w:ascii="Cambria Math" w:hAnsi="Cambria Math"/>
                <w:sz w:val="20"/>
                <w:szCs w:val="20"/>
              </w:rPr>
              <m:t>G</m:t>
            </m:r>
          </m:sup>
        </m:sSubSup>
      </m:oMath>
      <w:r w:rsidRPr="00270005">
        <w:rPr>
          <w:rFonts w:eastAsia="TeX-NewCenturySchlbk-Roman"/>
          <w:sz w:val="20"/>
          <w:szCs w:val="20"/>
        </w:rPr>
        <w:t xml:space="preserve"> is equal to unity.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BC374E"/>
    <w:multiLevelType w:val="hybridMultilevel"/>
    <w:tmpl w:val="E4D4339C"/>
    <w:lvl w:ilvl="0" w:tplc="5AC80600">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802101"/>
    <w:multiLevelType w:val="hybridMultilevel"/>
    <w:tmpl w:val="17CE83C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A37284"/>
    <w:multiLevelType w:val="multilevel"/>
    <w:tmpl w:val="835A7F2C"/>
    <w:lvl w:ilvl="0">
      <w:start w:val="1"/>
      <w:numFmt w:val="decimal"/>
      <w:pStyle w:val="Heading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16E22"/>
    <w:rsid w:val="000032C4"/>
    <w:rsid w:val="000039F3"/>
    <w:rsid w:val="000360DC"/>
    <w:rsid w:val="000370F6"/>
    <w:rsid w:val="000420E8"/>
    <w:rsid w:val="00044573"/>
    <w:rsid w:val="00045212"/>
    <w:rsid w:val="00055B0D"/>
    <w:rsid w:val="00065347"/>
    <w:rsid w:val="000654AB"/>
    <w:rsid w:val="0009008F"/>
    <w:rsid w:val="000C42D3"/>
    <w:rsid w:val="000D1D23"/>
    <w:rsid w:val="000E3E67"/>
    <w:rsid w:val="000F3F13"/>
    <w:rsid w:val="00102355"/>
    <w:rsid w:val="00110D2E"/>
    <w:rsid w:val="00120AF6"/>
    <w:rsid w:val="0015350E"/>
    <w:rsid w:val="00154274"/>
    <w:rsid w:val="0016571D"/>
    <w:rsid w:val="0016673B"/>
    <w:rsid w:val="00174E55"/>
    <w:rsid w:val="00175389"/>
    <w:rsid w:val="00176CF8"/>
    <w:rsid w:val="001776D8"/>
    <w:rsid w:val="001A210F"/>
    <w:rsid w:val="001C4B08"/>
    <w:rsid w:val="001E24BC"/>
    <w:rsid w:val="001F13AC"/>
    <w:rsid w:val="0020200B"/>
    <w:rsid w:val="00204D40"/>
    <w:rsid w:val="0023739F"/>
    <w:rsid w:val="00260FB3"/>
    <w:rsid w:val="00260FD3"/>
    <w:rsid w:val="00270005"/>
    <w:rsid w:val="00287218"/>
    <w:rsid w:val="002973EA"/>
    <w:rsid w:val="002A39E0"/>
    <w:rsid w:val="002A4D68"/>
    <w:rsid w:val="002A5BCE"/>
    <w:rsid w:val="002D7424"/>
    <w:rsid w:val="002E7224"/>
    <w:rsid w:val="002F3562"/>
    <w:rsid w:val="003135DA"/>
    <w:rsid w:val="0031479E"/>
    <w:rsid w:val="0031523C"/>
    <w:rsid w:val="00315846"/>
    <w:rsid w:val="003220F5"/>
    <w:rsid w:val="00327DE3"/>
    <w:rsid w:val="00335EB9"/>
    <w:rsid w:val="003503E1"/>
    <w:rsid w:val="00383617"/>
    <w:rsid w:val="00383C5C"/>
    <w:rsid w:val="0039485A"/>
    <w:rsid w:val="003A60AB"/>
    <w:rsid w:val="003C7BB2"/>
    <w:rsid w:val="003D16D4"/>
    <w:rsid w:val="00405B7A"/>
    <w:rsid w:val="00420CC8"/>
    <w:rsid w:val="00444EF1"/>
    <w:rsid w:val="00450B5C"/>
    <w:rsid w:val="00465235"/>
    <w:rsid w:val="004720B0"/>
    <w:rsid w:val="00481A9F"/>
    <w:rsid w:val="00484EF4"/>
    <w:rsid w:val="00486F5B"/>
    <w:rsid w:val="00487FE3"/>
    <w:rsid w:val="004A72F6"/>
    <w:rsid w:val="004E451F"/>
    <w:rsid w:val="004F0463"/>
    <w:rsid w:val="005030AA"/>
    <w:rsid w:val="00505D2B"/>
    <w:rsid w:val="005409E1"/>
    <w:rsid w:val="00572236"/>
    <w:rsid w:val="005A5B90"/>
    <w:rsid w:val="005B524D"/>
    <w:rsid w:val="005C21E0"/>
    <w:rsid w:val="005C439B"/>
    <w:rsid w:val="005D05BF"/>
    <w:rsid w:val="005D25EC"/>
    <w:rsid w:val="005D5EE7"/>
    <w:rsid w:val="005E2D7F"/>
    <w:rsid w:val="005E634A"/>
    <w:rsid w:val="005F3D69"/>
    <w:rsid w:val="00621A78"/>
    <w:rsid w:val="00624C6C"/>
    <w:rsid w:val="0062653A"/>
    <w:rsid w:val="00627AE4"/>
    <w:rsid w:val="00647F1A"/>
    <w:rsid w:val="00656546"/>
    <w:rsid w:val="00661ADB"/>
    <w:rsid w:val="00665F39"/>
    <w:rsid w:val="00671F91"/>
    <w:rsid w:val="00683C4A"/>
    <w:rsid w:val="006A282C"/>
    <w:rsid w:val="006B083A"/>
    <w:rsid w:val="006C05F2"/>
    <w:rsid w:val="006C4DE7"/>
    <w:rsid w:val="006E4151"/>
    <w:rsid w:val="006E5018"/>
    <w:rsid w:val="00701ECB"/>
    <w:rsid w:val="007138E7"/>
    <w:rsid w:val="007526F0"/>
    <w:rsid w:val="00757968"/>
    <w:rsid w:val="007755BC"/>
    <w:rsid w:val="00777D0B"/>
    <w:rsid w:val="007B24E1"/>
    <w:rsid w:val="007D1741"/>
    <w:rsid w:val="007D2409"/>
    <w:rsid w:val="007E3F13"/>
    <w:rsid w:val="00806352"/>
    <w:rsid w:val="0081566E"/>
    <w:rsid w:val="00823693"/>
    <w:rsid w:val="00834452"/>
    <w:rsid w:val="00834D04"/>
    <w:rsid w:val="00850AA7"/>
    <w:rsid w:val="00872107"/>
    <w:rsid w:val="008866CD"/>
    <w:rsid w:val="008A4874"/>
    <w:rsid w:val="008C217E"/>
    <w:rsid w:val="008C4FC6"/>
    <w:rsid w:val="008E3E17"/>
    <w:rsid w:val="008E675F"/>
    <w:rsid w:val="008F664F"/>
    <w:rsid w:val="008F69C0"/>
    <w:rsid w:val="008F77E1"/>
    <w:rsid w:val="00907CEE"/>
    <w:rsid w:val="00910FE5"/>
    <w:rsid w:val="00916E22"/>
    <w:rsid w:val="009320A3"/>
    <w:rsid w:val="0093250A"/>
    <w:rsid w:val="00955391"/>
    <w:rsid w:val="00973594"/>
    <w:rsid w:val="009A7A66"/>
    <w:rsid w:val="009D3750"/>
    <w:rsid w:val="00A007AB"/>
    <w:rsid w:val="00A05099"/>
    <w:rsid w:val="00A07582"/>
    <w:rsid w:val="00A1158D"/>
    <w:rsid w:val="00A15CDE"/>
    <w:rsid w:val="00A20C42"/>
    <w:rsid w:val="00A27F11"/>
    <w:rsid w:val="00A40CEB"/>
    <w:rsid w:val="00A4466D"/>
    <w:rsid w:val="00A52B37"/>
    <w:rsid w:val="00A6253F"/>
    <w:rsid w:val="00A67F59"/>
    <w:rsid w:val="00A75B68"/>
    <w:rsid w:val="00A7628C"/>
    <w:rsid w:val="00A82398"/>
    <w:rsid w:val="00AA67AE"/>
    <w:rsid w:val="00AC04F1"/>
    <w:rsid w:val="00AC2086"/>
    <w:rsid w:val="00AC45A0"/>
    <w:rsid w:val="00AD0107"/>
    <w:rsid w:val="00AD2E58"/>
    <w:rsid w:val="00AD337D"/>
    <w:rsid w:val="00AD7D17"/>
    <w:rsid w:val="00AF4E3F"/>
    <w:rsid w:val="00B11812"/>
    <w:rsid w:val="00B27DFE"/>
    <w:rsid w:val="00B42FC8"/>
    <w:rsid w:val="00B55EFD"/>
    <w:rsid w:val="00BA19A6"/>
    <w:rsid w:val="00BA47A2"/>
    <w:rsid w:val="00BB2078"/>
    <w:rsid w:val="00BB6A49"/>
    <w:rsid w:val="00BC5C09"/>
    <w:rsid w:val="00BC7957"/>
    <w:rsid w:val="00BD76D4"/>
    <w:rsid w:val="00BF215B"/>
    <w:rsid w:val="00BF6931"/>
    <w:rsid w:val="00C07756"/>
    <w:rsid w:val="00C20739"/>
    <w:rsid w:val="00C26BC2"/>
    <w:rsid w:val="00C316B9"/>
    <w:rsid w:val="00C32F48"/>
    <w:rsid w:val="00C36970"/>
    <w:rsid w:val="00C675FD"/>
    <w:rsid w:val="00C741C1"/>
    <w:rsid w:val="00C90AF4"/>
    <w:rsid w:val="00CA6729"/>
    <w:rsid w:val="00CC0EFE"/>
    <w:rsid w:val="00CC40BF"/>
    <w:rsid w:val="00CC45FA"/>
    <w:rsid w:val="00CE0E21"/>
    <w:rsid w:val="00D00FEC"/>
    <w:rsid w:val="00D022F5"/>
    <w:rsid w:val="00D05D9F"/>
    <w:rsid w:val="00D14CD7"/>
    <w:rsid w:val="00D15D8A"/>
    <w:rsid w:val="00D42578"/>
    <w:rsid w:val="00D43143"/>
    <w:rsid w:val="00D46FB5"/>
    <w:rsid w:val="00D50533"/>
    <w:rsid w:val="00D51C20"/>
    <w:rsid w:val="00D5793F"/>
    <w:rsid w:val="00D717D3"/>
    <w:rsid w:val="00DA68EA"/>
    <w:rsid w:val="00DB4B91"/>
    <w:rsid w:val="00DC3B66"/>
    <w:rsid w:val="00DC4945"/>
    <w:rsid w:val="00DC5284"/>
    <w:rsid w:val="00DC564B"/>
    <w:rsid w:val="00DD5F57"/>
    <w:rsid w:val="00DD6CBA"/>
    <w:rsid w:val="00DE740F"/>
    <w:rsid w:val="00DF76E0"/>
    <w:rsid w:val="00E11B16"/>
    <w:rsid w:val="00E2128D"/>
    <w:rsid w:val="00E32B16"/>
    <w:rsid w:val="00E54ABB"/>
    <w:rsid w:val="00E674B6"/>
    <w:rsid w:val="00E724CE"/>
    <w:rsid w:val="00E8402C"/>
    <w:rsid w:val="00ED4B32"/>
    <w:rsid w:val="00EE2462"/>
    <w:rsid w:val="00F000AD"/>
    <w:rsid w:val="00F060CD"/>
    <w:rsid w:val="00F1066F"/>
    <w:rsid w:val="00F17BE2"/>
    <w:rsid w:val="00F20BA7"/>
    <w:rsid w:val="00F229BF"/>
    <w:rsid w:val="00F475D0"/>
    <w:rsid w:val="00F5530F"/>
    <w:rsid w:val="00F617D9"/>
    <w:rsid w:val="00F62D8E"/>
    <w:rsid w:val="00F824A9"/>
    <w:rsid w:val="00F943E5"/>
    <w:rsid w:val="00FA27C3"/>
    <w:rsid w:val="00FA6DF4"/>
    <w:rsid w:val="00FB302D"/>
    <w:rsid w:val="00FB730E"/>
    <w:rsid w:val="00FD3DCB"/>
    <w:rsid w:val="00FF5A32"/>
    <w:rsid w:val="00FF70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E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6E22"/>
    <w:pPr>
      <w:keepNext/>
      <w:numPr>
        <w:numId w:val="1"/>
      </w:numPr>
      <w:spacing w:before="300" w:after="120" w:line="480" w:lineRule="auto"/>
      <w:jc w:val="both"/>
      <w:outlineLvl w:val="0"/>
    </w:pPr>
    <w:rPr>
      <w:rFonts w:cs="Arial"/>
      <w:b/>
      <w:bCs/>
      <w:kern w:val="32"/>
      <w:szCs w:val="32"/>
    </w:rPr>
  </w:style>
  <w:style w:type="paragraph" w:styleId="Heading2">
    <w:name w:val="heading 2"/>
    <w:basedOn w:val="Normal"/>
    <w:next w:val="Normal"/>
    <w:link w:val="Heading2Char"/>
    <w:uiPriority w:val="9"/>
    <w:unhideWhenUsed/>
    <w:qFormat/>
    <w:rsid w:val="00DD5F57"/>
    <w:pPr>
      <w:keepNext/>
      <w:keepLines/>
      <w:numPr>
        <w:numId w:val="2"/>
      </w:numPr>
      <w:spacing w:before="200" w:line="360" w:lineRule="auto"/>
      <w:ind w:left="0" w:firstLine="0"/>
      <w:outlineLvl w:val="1"/>
    </w:pPr>
    <w:rPr>
      <w:rFonts w:eastAsiaTheme="majorEastAsia" w:cstheme="majorBidi"/>
      <w:b/>
      <w:bCs/>
      <w: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6E22"/>
    <w:rPr>
      <w:rFonts w:ascii="Times New Roman" w:eastAsia="Times New Roman" w:hAnsi="Times New Roman" w:cs="Arial"/>
      <w:b/>
      <w:bCs/>
      <w:kern w:val="32"/>
      <w:sz w:val="24"/>
      <w:szCs w:val="32"/>
    </w:rPr>
  </w:style>
  <w:style w:type="paragraph" w:styleId="FootnoteText">
    <w:name w:val="footnote text"/>
    <w:basedOn w:val="Normal"/>
    <w:link w:val="FootnoteTextChar"/>
    <w:uiPriority w:val="99"/>
    <w:semiHidden/>
    <w:unhideWhenUsed/>
    <w:rsid w:val="00916E22"/>
    <w:pPr>
      <w:spacing w:after="120"/>
    </w:pPr>
    <w:rPr>
      <w:sz w:val="20"/>
      <w:szCs w:val="20"/>
    </w:rPr>
  </w:style>
  <w:style w:type="character" w:customStyle="1" w:styleId="FootnoteTextChar">
    <w:name w:val="Footnote Text Char"/>
    <w:basedOn w:val="DefaultParagraphFont"/>
    <w:link w:val="FootnoteText"/>
    <w:uiPriority w:val="99"/>
    <w:semiHidden/>
    <w:rsid w:val="00916E2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916E22"/>
    <w:rPr>
      <w:sz w:val="20"/>
      <w:szCs w:val="20"/>
    </w:rPr>
  </w:style>
  <w:style w:type="character" w:customStyle="1" w:styleId="CommentTextChar">
    <w:name w:val="Comment Text Char"/>
    <w:basedOn w:val="DefaultParagraphFont"/>
    <w:link w:val="CommentText"/>
    <w:semiHidden/>
    <w:rsid w:val="00916E22"/>
    <w:rPr>
      <w:rFonts w:ascii="Times New Roman" w:eastAsia="Times New Roman" w:hAnsi="Times New Roman" w:cs="Times New Roman"/>
      <w:sz w:val="20"/>
      <w:szCs w:val="20"/>
    </w:rPr>
  </w:style>
  <w:style w:type="paragraph" w:styleId="Title">
    <w:name w:val="Title"/>
    <w:basedOn w:val="Normal"/>
    <w:link w:val="TitleChar"/>
    <w:qFormat/>
    <w:rsid w:val="00916E22"/>
    <w:pPr>
      <w:spacing w:before="240" w:after="60"/>
      <w:jc w:val="center"/>
      <w:outlineLvl w:val="0"/>
    </w:pPr>
    <w:rPr>
      <w:rFonts w:cs="Arial"/>
      <w:b/>
      <w:bCs/>
      <w:kern w:val="28"/>
      <w:sz w:val="28"/>
      <w:szCs w:val="32"/>
    </w:rPr>
  </w:style>
  <w:style w:type="character" w:customStyle="1" w:styleId="TitleChar">
    <w:name w:val="Title Char"/>
    <w:basedOn w:val="DefaultParagraphFont"/>
    <w:link w:val="Title"/>
    <w:rsid w:val="00916E22"/>
    <w:rPr>
      <w:rFonts w:ascii="Times New Roman" w:eastAsia="Times New Roman" w:hAnsi="Times New Roman" w:cs="Arial"/>
      <w:b/>
      <w:bCs/>
      <w:kern w:val="28"/>
      <w:sz w:val="28"/>
      <w:szCs w:val="32"/>
    </w:rPr>
  </w:style>
  <w:style w:type="paragraph" w:styleId="Subtitle">
    <w:name w:val="Subtitle"/>
    <w:basedOn w:val="Normal"/>
    <w:next w:val="Normal"/>
    <w:link w:val="SubtitleChar"/>
    <w:qFormat/>
    <w:rsid w:val="00916E22"/>
    <w:pPr>
      <w:jc w:val="center"/>
    </w:pPr>
    <w:rPr>
      <w:rFonts w:eastAsiaTheme="majorEastAsia" w:cstheme="majorBidi"/>
      <w:iCs/>
    </w:rPr>
  </w:style>
  <w:style w:type="character" w:customStyle="1" w:styleId="SubtitleChar">
    <w:name w:val="Subtitle Char"/>
    <w:basedOn w:val="DefaultParagraphFont"/>
    <w:link w:val="Subtitle"/>
    <w:rsid w:val="00916E22"/>
    <w:rPr>
      <w:rFonts w:ascii="Times New Roman" w:eastAsiaTheme="majorEastAsia" w:hAnsi="Times New Roman" w:cstheme="majorBidi"/>
      <w:iCs/>
      <w:sz w:val="24"/>
      <w:szCs w:val="24"/>
    </w:rPr>
  </w:style>
  <w:style w:type="character" w:styleId="FootnoteReference">
    <w:name w:val="footnote reference"/>
    <w:basedOn w:val="DefaultParagraphFont"/>
    <w:uiPriority w:val="99"/>
    <w:semiHidden/>
    <w:unhideWhenUsed/>
    <w:rsid w:val="00916E22"/>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916E22"/>
    <w:rPr>
      <w:rFonts w:ascii="Times New Roman" w:hAnsi="Times New Roman" w:cs="Times New Roman" w:hint="default"/>
      <w:sz w:val="16"/>
      <w:szCs w:val="16"/>
    </w:rPr>
  </w:style>
  <w:style w:type="paragraph" w:styleId="BalloonText">
    <w:name w:val="Balloon Text"/>
    <w:basedOn w:val="Normal"/>
    <w:link w:val="BalloonTextChar"/>
    <w:uiPriority w:val="99"/>
    <w:semiHidden/>
    <w:unhideWhenUsed/>
    <w:rsid w:val="00916E22"/>
    <w:rPr>
      <w:rFonts w:ascii="Tahoma" w:hAnsi="Tahoma" w:cs="Tahoma"/>
      <w:sz w:val="16"/>
      <w:szCs w:val="16"/>
    </w:rPr>
  </w:style>
  <w:style w:type="character" w:customStyle="1" w:styleId="BalloonTextChar">
    <w:name w:val="Balloon Text Char"/>
    <w:basedOn w:val="DefaultParagraphFont"/>
    <w:link w:val="BalloonText"/>
    <w:uiPriority w:val="99"/>
    <w:semiHidden/>
    <w:rsid w:val="00916E2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D6CBA"/>
    <w:rPr>
      <w:b/>
      <w:bCs/>
    </w:rPr>
  </w:style>
  <w:style w:type="character" w:customStyle="1" w:styleId="CommentSubjectChar">
    <w:name w:val="Comment Subject Char"/>
    <w:basedOn w:val="CommentTextChar"/>
    <w:link w:val="CommentSubject"/>
    <w:uiPriority w:val="99"/>
    <w:semiHidden/>
    <w:rsid w:val="00DD6CBA"/>
    <w:rPr>
      <w:b/>
      <w:bCs/>
    </w:rPr>
  </w:style>
  <w:style w:type="character" w:styleId="Hyperlink">
    <w:name w:val="Hyperlink"/>
    <w:basedOn w:val="DefaultParagraphFont"/>
    <w:uiPriority w:val="99"/>
    <w:unhideWhenUsed/>
    <w:rsid w:val="00F1066F"/>
    <w:rPr>
      <w:color w:val="0000FF" w:themeColor="hyperlink"/>
      <w:u w:val="single"/>
    </w:rPr>
  </w:style>
  <w:style w:type="paragraph" w:styleId="Caption">
    <w:name w:val="caption"/>
    <w:basedOn w:val="Normal"/>
    <w:next w:val="Normal"/>
    <w:uiPriority w:val="35"/>
    <w:unhideWhenUsed/>
    <w:qFormat/>
    <w:rsid w:val="00FF7015"/>
    <w:pPr>
      <w:spacing w:after="200"/>
    </w:pPr>
    <w:rPr>
      <w:b/>
      <w:bCs/>
      <w:color w:val="4F81BD" w:themeColor="accent1"/>
      <w:sz w:val="18"/>
      <w:szCs w:val="18"/>
    </w:rPr>
  </w:style>
  <w:style w:type="paragraph" w:styleId="Header">
    <w:name w:val="header"/>
    <w:basedOn w:val="Normal"/>
    <w:link w:val="HeaderChar"/>
    <w:uiPriority w:val="99"/>
    <w:semiHidden/>
    <w:unhideWhenUsed/>
    <w:rsid w:val="000039F3"/>
    <w:pPr>
      <w:tabs>
        <w:tab w:val="center" w:pos="4680"/>
        <w:tab w:val="right" w:pos="9360"/>
      </w:tabs>
    </w:pPr>
  </w:style>
  <w:style w:type="character" w:customStyle="1" w:styleId="HeaderChar">
    <w:name w:val="Header Char"/>
    <w:basedOn w:val="DefaultParagraphFont"/>
    <w:link w:val="Header"/>
    <w:uiPriority w:val="99"/>
    <w:semiHidden/>
    <w:rsid w:val="000039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39F3"/>
    <w:pPr>
      <w:tabs>
        <w:tab w:val="center" w:pos="4680"/>
        <w:tab w:val="right" w:pos="9360"/>
      </w:tabs>
    </w:pPr>
  </w:style>
  <w:style w:type="character" w:customStyle="1" w:styleId="FooterChar">
    <w:name w:val="Footer Char"/>
    <w:basedOn w:val="DefaultParagraphFont"/>
    <w:link w:val="Footer"/>
    <w:uiPriority w:val="99"/>
    <w:rsid w:val="000039F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5793F"/>
    <w:rPr>
      <w:color w:val="808080"/>
    </w:rPr>
  </w:style>
  <w:style w:type="character" w:customStyle="1" w:styleId="Heading2Char">
    <w:name w:val="Heading 2 Char"/>
    <w:basedOn w:val="DefaultParagraphFont"/>
    <w:link w:val="Heading2"/>
    <w:uiPriority w:val="9"/>
    <w:rsid w:val="00DD5F57"/>
    <w:rPr>
      <w:rFonts w:ascii="Times New Roman" w:eastAsiaTheme="majorEastAsia" w:hAnsi="Times New Roman" w:cstheme="majorBidi"/>
      <w:b/>
      <w:bCs/>
      <w:i/>
      <w:color w:val="000000" w:themeColor="text1"/>
      <w:sz w:val="24"/>
      <w:szCs w:val="26"/>
    </w:rPr>
  </w:style>
  <w:style w:type="table" w:styleId="TableGrid">
    <w:name w:val="Table Grid"/>
    <w:basedOn w:val="TableNormal"/>
    <w:uiPriority w:val="59"/>
    <w:rsid w:val="008F66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7218"/>
    <w:pPr>
      <w:ind w:left="720"/>
      <w:contextualSpacing/>
    </w:pPr>
  </w:style>
  <w:style w:type="paragraph" w:styleId="Revision">
    <w:name w:val="Revision"/>
    <w:hidden/>
    <w:uiPriority w:val="99"/>
    <w:semiHidden/>
    <w:rsid w:val="00D022F5"/>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74275731">
      <w:bodyDiv w:val="1"/>
      <w:marLeft w:val="0"/>
      <w:marRight w:val="0"/>
      <w:marTop w:val="0"/>
      <w:marBottom w:val="0"/>
      <w:divBdr>
        <w:top w:val="none" w:sz="0" w:space="0" w:color="auto"/>
        <w:left w:val="none" w:sz="0" w:space="0" w:color="auto"/>
        <w:bottom w:val="none" w:sz="0" w:space="0" w:color="auto"/>
        <w:right w:val="none" w:sz="0" w:space="0" w:color="auto"/>
      </w:divBdr>
    </w:div>
    <w:div w:id="1018697491">
      <w:bodyDiv w:val="1"/>
      <w:marLeft w:val="0"/>
      <w:marRight w:val="0"/>
      <w:marTop w:val="0"/>
      <w:marBottom w:val="0"/>
      <w:divBdr>
        <w:top w:val="none" w:sz="0" w:space="0" w:color="auto"/>
        <w:left w:val="none" w:sz="0" w:space="0" w:color="auto"/>
        <w:bottom w:val="none" w:sz="0" w:space="0" w:color="auto"/>
        <w:right w:val="none" w:sz="0" w:space="0" w:color="auto"/>
      </w:divBdr>
    </w:div>
    <w:div w:id="174621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s>
</file>

<file path=word/_rels/footnotes.xml.rels><?xml version="1.0" encoding="UTF-8" standalone="yes"?>
<Relationships xmlns="http://schemas.openxmlformats.org/package/2006/relationships"><Relationship Id="rId1" Type="http://schemas.openxmlformats.org/officeDocument/2006/relationships/hyperlink" Target="http://www.oecd.org/faq/0,3433,en_2649_33733_1798284_1_1_1_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4980A-F6ED-44F9-9CA2-0B30A3A8C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5440</Words>
  <Characters>31012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36380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uras</dc:creator>
  <cp:lastModifiedBy>rshannon</cp:lastModifiedBy>
  <cp:revision>2</cp:revision>
  <cp:lastPrinted>2011-06-11T15:09:00Z</cp:lastPrinted>
  <dcterms:created xsi:type="dcterms:W3CDTF">2011-07-05T15:53:00Z</dcterms:created>
  <dcterms:modified xsi:type="dcterms:W3CDTF">2011-07-05T15:53:00Z</dcterms:modified>
</cp:coreProperties>
</file>